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18.678.450 VND (Bằng chữ: Mười tám triệu sáu trăm bảy mươi tám nghìn bốn trăm năm mươi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12-QLN/2025/HĐTCXD </w:t>
      </w:r>
      <w:r w:rsidRPr="00220334">
        <w:rPr>
          <w:iCs/>
          <w:color w:val="auto"/>
        </w:rPr>
        <w:t>ngày</w:t>
      </w:r>
      <w:r w:rsidR="000658BE" w:rsidRPr="00220334">
        <w:rPr>
          <w:iCs/>
          <w:color w:val="auto"/>
        </w:rPr>
        <w:t xml:space="preserve"> 29/10/2025</w:t>
      </w:r>
      <w:r w:rsidR="00F03425">
        <w:rPr>
          <w:iCs/>
          <w:color w:val="auto"/>
        </w:rPr>
        <w:t xml:space="preserve"> về việc </w:t>
      </w:r>
      <w:r w:rsidR="00F03425" w:rsidRPr="00715A37">
        <w:rPr>
          <w:color w:val="auto"/>
        </w:rPr>
        <w:t>Thi công xây dựng công trình: Kênh Minh Tân  2. Hạng mục: Nạo vét, đắp bờ từ cống Minh Tân 2 đến cổng làng Vũ Vị, L=945m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15/12/2026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