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one" w:sz="0" w:space="0" w:color="FFFFFF"/>
          <w:bottom w:val="none" w:sz="0" w:space="0" w:color="FFFFFF"/>
          <w:insideH w:val="none" w:sz="0" w:space="0" w:color="FFFFFF"/>
          <w:insideV w:val="none" w:sz="0" w:space="0" w:color="FFFFFF"/>
          <w:left w:val="none" w:sz="0" w:space="0" w:color="FFFFFF"/>
          <w:right w:val="none" w:sz="0" w:space="0" w:color="FFFFFF"/>
        </w:tblBorders>
      </w:tblPr>
      <w:tblGrid>
        <w:gridCol w:w="4678"/>
        <w:gridCol w:w="4678"/>
      </w:tblGrid>
      <w:tr>
        <w:tc>
          <w:tcPr>
            <w:tcW w:type="dxa" w:w="4176"/>
          </w:tcPr>
          <w:p>
            <w:pPr>
              <w:spacing w:after="40" w:line="240" w:lineRule="auto"/>
              <w:jc w:val="center"/>
            </w:pPr>
            <w:r>
              <w:rPr>
                <w:rFonts w:ascii="Times New Roman" w:hAnsi="Times New Roman"/>
                <w:b/>
                <w:sz w:val="21"/>
              </w:rPr>
              <w:t>CÔNG TY TNHH XÂY DỰNG ĐỊNH SƠN</w:t>
              <w:br/>
            </w:r>
            <w:r>
              <w:rPr>
                <w:rFonts w:ascii="Times New Roman" w:hAnsi="Times New Roman"/>
                <w:b w:val="0"/>
                <w:sz w:val="22"/>
              </w:rPr>
              <w:t>Số: 01/TTr-ĐS</w:t>
            </w:r>
          </w:p>
        </w:tc>
        <w:tc>
          <w:tcPr>
            <w:tcW w:type="dxa" w:w="5184"/>
          </w:tcPr>
          <w:p>
            <w:pPr>
              <w:spacing w:after="40" w:line="240" w:lineRule="auto"/>
              <w:jc w:val="center"/>
            </w:pPr>
            <w:r>
              <w:rPr>
                <w:rFonts w:ascii="Times New Roman" w:hAnsi="Times New Roman"/>
                <w:b/>
                <w:sz w:val="22"/>
              </w:rPr>
              <w:t>CỘNG HÒA XÃ HỘI CHỦ NGHĨA VIỆT NAM</w:t>
              <w:br/>
            </w:r>
            <w:r>
              <w:rPr>
                <w:rFonts w:ascii="Times New Roman" w:hAnsi="Times New Roman"/>
                <w:b/>
                <w:sz w:val="23"/>
              </w:rPr>
              <w:t>Độc lập - Tự do - Hạnh phúc</w:t>
              <w:br/>
            </w:r>
            <w:r>
              <w:rPr>
                <w:rFonts w:ascii="Times New Roman" w:hAnsi="Times New Roman"/>
                <w:sz w:val="18"/>
              </w:rPr>
              <w:t>---------------o0o---------------</w:t>
              <w:br/>
            </w:r>
            <w:r>
              <w:rPr>
                <w:rFonts w:ascii="Times New Roman" w:hAnsi="Times New Roman"/>
                <w:i/>
                <w:sz w:val="23"/>
              </w:rPr>
              <w:t>Kiến Minh, ngày 22 tháng 09 năm 2026</w:t>
            </w:r>
          </w:p>
        </w:tc>
      </w:tr>
    </w:tbl>
    <w:p>
      <w:pPr>
        <w:spacing w:after="80"/>
      </w:pPr>
    </w:p>
    <w:p>
      <w:pPr>
        <w:spacing w:before="0" w:after="40" w:line="276" w:lineRule="auto"/>
        <w:jc w:val="center"/>
      </w:pPr>
      <w:r>
        <w:rPr>
          <w:rFonts w:ascii="Times New Roman" w:hAnsi="Times New Roman"/>
          <w:b/>
          <w:i w:val="0"/>
          <w:sz w:val="28"/>
        </w:rPr>
        <w:t>TỜ TRÌNH</w:t>
      </w:r>
    </w:p>
    <w:p>
      <w:pPr>
        <w:spacing w:before="0" w:after="40" w:line="276" w:lineRule="auto"/>
        <w:jc w:val="center"/>
      </w:pPr>
      <w:r>
        <w:rPr>
          <w:rFonts w:ascii="Times New Roman" w:hAnsi="Times New Roman"/>
          <w:b/>
          <w:i/>
          <w:sz w:val="24"/>
        </w:rPr>
        <w:t>V/v Đăng ký và đề nghị phê duyệt Biện pháp tổ chức thi công, Tiến độ thi công chi tiết</w:t>
      </w:r>
    </w:p>
    <w:p>
      <w:pPr>
        <w:spacing w:before="0" w:after="200" w:line="276" w:lineRule="auto"/>
        <w:jc w:val="center"/>
      </w:pPr>
      <w:r>
        <w:rPr>
          <w:rFonts w:ascii="Times New Roman" w:hAnsi="Times New Roman"/>
          <w:b/>
          <w:i w:val="0"/>
          <w:sz w:val="25"/>
        </w:rPr>
        <w:t>Công trình: Xây dựng cống hộp đoạn từ nhà ông Đèn đến nhà bà Lanh thôn Phong Cầu, xã Kiến Minh</w:t>
      </w:r>
    </w:p>
    <w:p>
      <w:pPr>
        <w:spacing w:before="0" w:after="80" w:line="276" w:lineRule="auto"/>
        <w:jc w:val="left"/>
      </w:pPr>
      <w:r>
        <w:rPr>
          <w:rFonts w:ascii="Times New Roman" w:hAnsi="Times New Roman"/>
          <w:b/>
          <w:i/>
          <w:sz w:val="25"/>
        </w:rPr>
        <w:t xml:space="preserve">Kính gửi: </w:t>
      </w:r>
      <w:r>
        <w:rPr>
          <w:b w:val="0"/>
        </w:rPr>
        <w:t>- Trung tâm Dịch vụ sự nghiệp công xã Kiến Minh (Chủ đầu tư);</w:t>
        <w:br/>
        <w:t>- Công ty Cổ phần Tư vấn Xây dựng và Thương mại Cường Đạt (Đơn vị TVGS).</w:t>
      </w:r>
    </w:p>
    <w:p>
      <w:pPr>
        <w:spacing w:before="0" w:after="60" w:line="276" w:lineRule="auto"/>
        <w:jc w:val="left"/>
      </w:pPr>
      <w:r>
        <w:rPr>
          <w:rFonts w:ascii="Times New Roman" w:hAnsi="Times New Roman"/>
          <w:b w:val="0"/>
          <w:i/>
          <w:sz w:val="24"/>
        </w:rPr>
        <w:t>- Căn cứ Luật Xây dựng số 135/2025/QH15 ngày 12/10/2025;</w:t>
      </w:r>
    </w:p>
    <w:p>
      <w:pPr>
        <w:spacing w:before="0" w:after="60" w:line="276" w:lineRule="auto"/>
        <w:jc w:val="left"/>
      </w:pPr>
      <w:r>
        <w:rPr>
          <w:rFonts w:ascii="Times New Roman" w:hAnsi="Times New Roman"/>
          <w:b w:val="0"/>
          <w:i/>
          <w:sz w:val="24"/>
        </w:rPr>
        <w:t>- Căn cứ Nghị định số 206/2026/NĐ-CP ngày 15/06/2026 của Chính phủ quy định chi tiết về quản lý chi phí đầu tư xây dựng;</w:t>
      </w:r>
    </w:p>
    <w:p>
      <w:pPr>
        <w:spacing w:before="0" w:after="60" w:line="276" w:lineRule="auto"/>
        <w:jc w:val="left"/>
      </w:pPr>
      <w:r>
        <w:rPr>
          <w:rFonts w:ascii="Times New Roman" w:hAnsi="Times New Roman"/>
          <w:b w:val="0"/>
          <w:i/>
          <w:sz w:val="24"/>
        </w:rPr>
        <w:t>- Căn cứ Nghị định số 207/2026/NĐ-CP ngày 15/06/2026 của Chính phủ quy định chi tiết một số nội dung về quản lý chất lượng, thi công xây dựng và bảo trì công trình xây dựng;</w:t>
      </w:r>
    </w:p>
    <w:p>
      <w:pPr>
        <w:spacing w:before="0" w:after="60" w:line="276" w:lineRule="auto"/>
        <w:jc w:val="left"/>
      </w:pPr>
      <w:r>
        <w:rPr>
          <w:rFonts w:ascii="Times New Roman" w:hAnsi="Times New Roman"/>
          <w:b w:val="0"/>
          <w:i/>
          <w:sz w:val="24"/>
        </w:rPr>
        <w:t>- Căn cứ Nghị định số 210/2026/NĐ-CP ngày 15/06/2026 của Chính phủ quy định chi tiết và hướng dẫn thi hành một số điều của Luật Xây dựng về hợp đồng xây dựng;</w:t>
      </w:r>
    </w:p>
    <w:p>
      <w:pPr>
        <w:spacing w:before="0" w:after="60" w:line="276" w:lineRule="auto"/>
        <w:jc w:val="left"/>
      </w:pPr>
      <w:r>
        <w:rPr>
          <w:rFonts w:ascii="Times New Roman" w:hAnsi="Times New Roman"/>
          <w:b w:val="0"/>
          <w:i/>
          <w:sz w:val="24"/>
        </w:rPr>
        <w:t>- Căn cứ Quyết định số 1040/QĐ-BXD ngày 26/06/2026 của Bộ Xây dựng ban hành biểu mẫu hợp đồng xây dựng;</w:t>
      </w:r>
    </w:p>
    <w:p>
      <w:pPr>
        <w:spacing w:before="0" w:after="60" w:line="276" w:lineRule="auto"/>
        <w:jc w:val="left"/>
      </w:pPr>
      <w:r>
        <w:rPr>
          <w:rFonts w:ascii="Times New Roman" w:hAnsi="Times New Roman"/>
          <w:b w:val="0"/>
          <w:i/>
          <w:sz w:val="24"/>
        </w:rPr>
        <w:t>- Căn cứ Quyết định số 1041/QĐ-BXD ngày 26/06/2026 của Bộ Xây dựng hướng dẫn xác định khối lượng công trình xây dựng;</w:t>
      </w:r>
    </w:p>
    <w:p>
      <w:pPr>
        <w:spacing w:before="0" w:after="60" w:line="276" w:lineRule="auto"/>
        <w:jc w:val="left"/>
      </w:pPr>
      <w:r>
        <w:rPr>
          <w:rFonts w:ascii="Times New Roman" w:hAnsi="Times New Roman"/>
          <w:b w:val="0"/>
          <w:i/>
          <w:sz w:val="24"/>
        </w:rPr>
        <w:t>- Căn cứ Quyết định số 889/QĐ-UBND ngày 10/08/2026 của UBND xã Kiến Minh về việc phê duyệt Báo cáo kinh tế kỹ thuật công trình;</w:t>
      </w:r>
    </w:p>
    <w:p>
      <w:pPr>
        <w:spacing w:before="0" w:after="60" w:line="276" w:lineRule="auto"/>
        <w:jc w:val="left"/>
      </w:pPr>
      <w:r>
        <w:rPr>
          <w:rFonts w:ascii="Times New Roman" w:hAnsi="Times New Roman"/>
          <w:b w:val="0"/>
          <w:i/>
          <w:sz w:val="24"/>
        </w:rPr>
        <w:t>- Căn cứ Quyết định số 89/QĐ-TTDVSNC ngày 19/09/2026 của Trung tâm Dịch vụ sự nghiệp công xã Kiến Minh phê duyệt kết quả lựa chọn nhà thầu gói thầu số 5: Gói thầu xây lắp;</w:t>
      </w:r>
    </w:p>
    <w:p>
      <w:pPr>
        <w:spacing w:before="0" w:after="160" w:line="276" w:lineRule="auto"/>
        <w:jc w:val="left"/>
      </w:pPr>
      <w:r>
        <w:rPr>
          <w:rFonts w:ascii="Times New Roman" w:hAnsi="Times New Roman"/>
          <w:b w:val="0"/>
          <w:i/>
          <w:sz w:val="24"/>
        </w:rPr>
        <w:t>- Căn cứ Hợp đồng thi công xây dựng công trình số 21.9.CHOĐBLKM/2026/HĐXL ngày 21/09/2026 ký giữa Trung tâm Dịch vụ sự nghiệp công xã Kiến Minh và Công ty TNHH Xây dựng Định Sơn;</w:t>
      </w:r>
    </w:p>
    <w:p>
      <w:pPr>
        <w:spacing w:before="0" w:after="60" w:line="276" w:lineRule="auto"/>
        <w:jc w:val="left"/>
      </w:pPr>
      <w:r>
        <w:rPr>
          <w:rFonts w:ascii="Times New Roman" w:hAnsi="Times New Roman"/>
          <w:b w:val="0"/>
          <w:i w:val="0"/>
          <w:sz w:val="25"/>
        </w:rPr>
        <w:t>Công ty TNHH Xây dựng Định Sơn trân trọng báo cáo và kính trình Trung tâm Dịch vụ sự nghiệp công xã Kiến Minh (Chủ đầu tư) cùng Đơn vị Tư vấn giám sát (Công ty Cổ phần Tư vấn Xây dựng và Thương mại Cường Đạt) xem xét, thẩm định và phê duyệt Hồ sơ Biện pháp tổ chức thi công và Tiến độ thi công chi tiết của gói thầu với các nội dung trọng tâm như sau:</w:t>
      </w:r>
    </w:p>
    <w:p>
      <w:pPr>
        <w:spacing w:before="80" w:after="60" w:line="276" w:lineRule="auto"/>
        <w:jc w:val="left"/>
      </w:pPr>
      <w:r>
        <w:rPr>
          <w:rFonts w:ascii="Times New Roman" w:hAnsi="Times New Roman"/>
          <w:b/>
          <w:i w:val="0"/>
          <w:sz w:val="25"/>
        </w:rPr>
        <w:t>1. Thông tin chung gói thầu:</w:t>
      </w:r>
    </w:p>
    <w:p>
      <w:pPr>
        <w:spacing w:before="0" w:after="60" w:line="276" w:lineRule="auto"/>
        <w:jc w:val="left"/>
      </w:pPr>
      <w:r>
        <w:rPr>
          <w:rFonts w:ascii="Times New Roman" w:hAnsi="Times New Roman"/>
          <w:b w:val="0"/>
          <w:i w:val="0"/>
          <w:sz w:val="24"/>
        </w:rPr>
        <w:t>+ Tên công trình: Xây dựng cống hộp đoạn từ nhà ông Đèn đến nhà bà Lanh thôn Phong Cầu, xã Kiến Minh.</w:t>
      </w:r>
    </w:p>
    <w:p>
      <w:pPr>
        <w:spacing w:before="0" w:after="60" w:line="276" w:lineRule="auto"/>
        <w:jc w:val="left"/>
      </w:pPr>
      <w:r>
        <w:rPr>
          <w:rFonts w:ascii="Times New Roman" w:hAnsi="Times New Roman"/>
          <w:b w:val="0"/>
          <w:i w:val="0"/>
          <w:sz w:val="24"/>
        </w:rPr>
        <w:t>+ Gói thầu số 05: Gói thầu xây lắp.</w:t>
      </w:r>
    </w:p>
    <w:p>
      <w:pPr>
        <w:spacing w:before="0" w:after="60" w:line="276" w:lineRule="auto"/>
        <w:jc w:val="left"/>
      </w:pPr>
      <w:r>
        <w:rPr>
          <w:rFonts w:ascii="Times New Roman" w:hAnsi="Times New Roman"/>
          <w:b w:val="0"/>
          <w:i w:val="0"/>
          <w:sz w:val="24"/>
        </w:rPr>
        <w:t>+ Địa điểm xây dựng: Thôn Phong Cầu, xã Kiến Minh, thành phố Hải Phòng.</w:t>
      </w:r>
    </w:p>
    <w:p>
      <w:pPr>
        <w:spacing w:before="0" w:after="60" w:line="276" w:lineRule="auto"/>
        <w:jc w:val="left"/>
      </w:pPr>
      <w:r>
        <w:rPr>
          <w:rFonts w:ascii="Times New Roman" w:hAnsi="Times New Roman"/>
          <w:b w:val="0"/>
          <w:i w:val="0"/>
          <w:sz w:val="24"/>
        </w:rPr>
        <w:t>+ Giá trị hợp đồng: 6.482.295.000 đồng (Sáu tỷ bốn trăm tám mươi hai triệu hai trăm chín mươi lăm nghìn đồng chẵn).</w:t>
      </w:r>
    </w:p>
    <w:p>
      <w:pPr>
        <w:spacing w:before="0" w:after="60" w:line="276" w:lineRule="auto"/>
        <w:jc w:val="left"/>
      </w:pPr>
      <w:r>
        <w:rPr>
          <w:rFonts w:ascii="Times New Roman" w:hAnsi="Times New Roman"/>
          <w:b w:val="0"/>
          <w:i w:val="0"/>
          <w:sz w:val="24"/>
        </w:rPr>
        <w:t>+ Thời gian thực hiện hợp đồng: 270 ngày kể từ ngày khởi công (dự kiến khởi công ngày 25/09/2026, hoàn thành ngày 21/06/2027).</w:t>
      </w:r>
    </w:p>
    <w:p>
      <w:pPr>
        <w:spacing w:before="0" w:after="60" w:line="276" w:lineRule="auto"/>
        <w:jc w:val="left"/>
      </w:pPr>
      <w:r>
        <w:rPr>
          <w:rFonts w:ascii="Times New Roman" w:hAnsi="Times New Roman"/>
          <w:b w:val="0"/>
          <w:i w:val="0"/>
          <w:sz w:val="24"/>
        </w:rPr>
        <w:t>+ Chỉ huy trưởng công trường: Kỹ sư Nguyễn Văn Hoạt (Chứng chỉ hành nghề CHT Hạng II số DS-PM-002).</w:t>
      </w:r>
    </w:p>
    <w:p>
      <w:pPr>
        <w:spacing w:before="0" w:after="60" w:line="276" w:lineRule="auto"/>
        <w:jc w:val="left"/>
      </w:pPr>
      <w:r>
        <w:rPr>
          <w:rFonts w:ascii="Times New Roman" w:hAnsi="Times New Roman"/>
          <w:b w:val="0"/>
          <w:i w:val="0"/>
          <w:sz w:val="24"/>
        </w:rPr>
        <w:t>+ Quy mô công trình: Tuyến cống hộp kích thước thông thủy BxH = 2.5x2.5m bằng BTCT mác 250, chiều rộng đáy móng cống 3.0m, bê tông lót rộng 3.4m dày 10cm. Chiều dài tuyến L = 146.46 m (chia làm 3 phân đoạn thi công cuốn chiếu). Kết cấu gia cố nền móng bằng cọc tre tươi L &gt; 2.5m, mật độ 25 cọc/m2; đệm cát phủ đầu cọc dày 10cm; hệ thống hố ga đấu nối xây gạch không nung, nắp ga BTCT đúc sẵn, cống tròn D300 thu gom nước thải dân sinh.</w:t>
      </w:r>
    </w:p>
    <w:p>
      <w:pPr>
        <w:spacing w:before="80" w:after="60" w:line="276" w:lineRule="auto"/>
        <w:jc w:val="left"/>
      </w:pPr>
      <w:r>
        <w:rPr>
          <w:rFonts w:ascii="Times New Roman" w:hAnsi="Times New Roman"/>
          <w:b/>
          <w:i w:val="0"/>
          <w:sz w:val="25"/>
        </w:rPr>
        <w:t>2. Giải pháp tổ chức thi công chính:</w:t>
      </w:r>
    </w:p>
    <w:p>
      <w:pPr>
        <w:spacing w:before="0" w:after="60" w:line="276" w:lineRule="auto"/>
        <w:jc w:val="left"/>
      </w:pPr>
      <w:r>
        <w:rPr>
          <w:rFonts w:ascii="Times New Roman" w:hAnsi="Times New Roman"/>
          <w:b w:val="0"/>
          <w:i w:val="0"/>
          <w:sz w:val="24"/>
        </w:rPr>
        <w:t>+ Phân đoạn thi công cuốn chiếu: Toàn tuyến được chia làm 03 phân đoạn thi công cuốn chiếu nhằm giảm thiểu diện tích chiếm dụng mặt bằng, bảo đảm sinh hoạt của khu dân cư thôn Phong Cầu:</w:t>
        <w:br/>
        <w:t xml:space="preserve">  - Phân đoạn 1: Dài 50m (từ lý trình đầu tuyến nhà ông Đèn).</w:t>
        <w:br/>
        <w:t xml:space="preserve">  - Phân đoạn 2: Dài 50m (đoạn giữa tuyến, đi qua khu vực ngõ xóm dân cư đông đúc, có nút thắt hộ dân lấn chiếm).</w:t>
        <w:br/>
        <w:t xml:space="preserve">  - Phân đoạn 3: Dài 45m (đoạn cuối đến giáp nhà bà Lanh và đấu nối các hố ga, cống tròn D300 nhánh dân sinh).</w:t>
      </w:r>
    </w:p>
    <w:p>
      <w:pPr>
        <w:spacing w:before="0" w:after="60" w:line="276" w:lineRule="auto"/>
        <w:jc w:val="left"/>
      </w:pPr>
      <w:r>
        <w:rPr>
          <w:rFonts w:ascii="Times New Roman" w:hAnsi="Times New Roman"/>
          <w:b w:val="0"/>
          <w:i w:val="0"/>
          <w:sz w:val="24"/>
        </w:rPr>
        <w:t>+ Biện pháp ngăn nước và giữ thành vách hố móng: Đóng cọc ván thép (cừ Larsen U250 chiều dài 5m - 8m) tạo thành 02 hàng vách cừ dọc hai bên mép hố đào, kết hợp cừ đê quai đầu hồi bọc bạt chống thấm/vải địa kỹ thuật ngăn nước mặt; hệ giằng văng dọc cừ U250 và thanh chống ngang ống thép (khoảng cách 10m/điểm, 2 thanh chống/điểm; riêng đoạn qua nhà dân rút ngắn xuống 3.5m/điểm) bảo đảm hố móng tuyệt đối ổn định.</w:t>
      </w:r>
    </w:p>
    <w:p>
      <w:pPr>
        <w:spacing w:before="0" w:after="60" w:line="276" w:lineRule="auto"/>
        <w:jc w:val="left"/>
      </w:pPr>
      <w:r>
        <w:rPr>
          <w:rFonts w:ascii="Times New Roman" w:hAnsi="Times New Roman"/>
          <w:b w:val="0"/>
          <w:i w:val="0"/>
          <w:sz w:val="24"/>
        </w:rPr>
        <w:t>+ Biện pháp tiêu thoát nước: Bố trí hệ thống rãnh thu nước và hố tụ đáy móng, sử dụng trạm máy bơm chìm công suất lớn bơm hút nước cưỡng bức liên tục 24/24 ra kênh xả hạ lưu trong suốt quá trình đào móng và đổ bê tông.</w:t>
      </w:r>
    </w:p>
    <w:p>
      <w:pPr>
        <w:spacing w:before="0" w:after="60" w:line="276" w:lineRule="auto"/>
        <w:jc w:val="left"/>
      </w:pPr>
      <w:r>
        <w:rPr>
          <w:rFonts w:ascii="Times New Roman" w:hAnsi="Times New Roman"/>
          <w:b w:val="0"/>
          <w:i w:val="0"/>
          <w:sz w:val="24"/>
        </w:rPr>
        <w:t>+ Biện pháp đào đất và vận chuyển: Áp dụng xói hút bùn trong khung vây phòng nước (10%), kết hợp 90% đào thủ công và máy đào mini 0.8m3 di chuyển trên sàn thép chống lầy dầy 16mm. Bùn đất đào lên được vận chuyển bằng ô tô tự đổ 5 tấn về bãi lưu tạm diện tích 1.500 m2 (đã thuê) để phơi khô và tận dụng đắp hoàn trả hố móng sau khi thi công cống.</w:t>
      </w:r>
    </w:p>
    <w:p>
      <w:pPr>
        <w:spacing w:before="0" w:after="60" w:line="276" w:lineRule="auto"/>
        <w:jc w:val="left"/>
      </w:pPr>
      <w:r>
        <w:rPr>
          <w:rFonts w:ascii="Times New Roman" w:hAnsi="Times New Roman"/>
          <w:b w:val="0"/>
          <w:i w:val="0"/>
          <w:sz w:val="24"/>
        </w:rPr>
        <w:t>+ Biện pháp thi công kết cấu: Gia cố móng cọc tre 25 cọc/m2 -&gt; đệm cát hạt trung 10cm -&gt; bê tông lót mác 100 dày 10cm -&gt; thi công BTCT đáy cống M250 dày 25cm -&gt; lắp đặt băng cản nước Waterstop PVC V250 tại các khe co giãn/khớp nối -&gt; ván khuôn thép định hình tường cống, đổ bê tông tường M250 dày 25cm -&gt; ván khuôn và đổ bê tông bản mặt cống M250 -&gt; đắp cát/đất đầm chặt K=0.90 bằng máy đầm cóc 70kg theo từng lớp 20cm hoàn trả mặt bằng.</w:t>
      </w:r>
    </w:p>
    <w:p>
      <w:pPr>
        <w:spacing w:before="0" w:after="60" w:line="276" w:lineRule="auto"/>
        <w:jc w:val="left"/>
      </w:pPr>
      <w:r>
        <w:rPr>
          <w:rFonts w:ascii="Times New Roman" w:hAnsi="Times New Roman"/>
          <w:b w:val="0"/>
          <w:i w:val="0"/>
          <w:sz w:val="24"/>
        </w:rPr>
        <w:t>+ Biện pháp trung chuyển vật tư thủ công: Do ngõ xóm rộng chỉ 2.5m - 3.2m xe tải không vào được, toàn bộ vật liệu cát đá, xi măng, cọc tre, cốt thép được trung chuyển cự ly 10m - 50m bằng xe cải tiến bánh lốp và nhân công thủ công đảm bảo an toàn giao thông và vệ sinh môi trường.</w:t>
      </w:r>
    </w:p>
    <w:p>
      <w:pPr>
        <w:spacing w:before="80" w:after="60" w:line="276" w:lineRule="auto"/>
        <w:jc w:val="left"/>
      </w:pPr>
      <w:r>
        <w:rPr>
          <w:rFonts w:ascii="Times New Roman" w:hAnsi="Times New Roman"/>
          <w:b/>
          <w:i w:val="0"/>
          <w:sz w:val="25"/>
        </w:rPr>
        <w:t>3. Báo cáo hiện trạng và Biện pháp thi công đặc thù xử lý nút thắt mặt bằng:</w:t>
      </w:r>
    </w:p>
    <w:p>
      <w:pPr>
        <w:spacing w:before="0" w:after="60" w:line="276" w:lineRule="auto"/>
        <w:jc w:val="left"/>
      </w:pPr>
      <w:r>
        <w:rPr>
          <w:rFonts w:ascii="Times New Roman" w:hAnsi="Times New Roman"/>
          <w:b w:val="0"/>
          <w:i w:val="0"/>
          <w:sz w:val="24"/>
        </w:rPr>
        <w:t>Qua công tác khảo sát hiện trường thực tế và đối chiếu hồ sơ bản vẽ thiết kế thi công, Nhà thầu ghi nhận tại vị trí giữa cọc TC1 và cọc mốc số 4 trên bản vẽ (thuộc phạm vi Phân đoạn 2) hiện có 01 hộ dân (hộ ông Nguyễn Văn Quyết) đã xây dựng công trình nhà ở kiên cố và tường bao lấn chiếm vào hành lang mương; khoảng cách từ mép hố đào đến chân móng nhà dân chỉ còn 0.65m. Móng nhà dân là móng nông bằng gạch xây trên nền bùn sét yếu, trên tường đã có 02 vết nứt chân chim cũ.</w:t>
      </w:r>
    </w:p>
    <w:p>
      <w:pPr>
        <w:spacing w:before="0" w:after="60" w:line="276" w:lineRule="auto"/>
        <w:jc w:val="left"/>
      </w:pPr>
      <w:r>
        <w:rPr>
          <w:rFonts w:ascii="Times New Roman" w:hAnsi="Times New Roman"/>
          <w:b w:val="0"/>
          <w:i w:val="0"/>
          <w:sz w:val="24"/>
        </w:rPr>
        <w:t>Nhà thầu trân trọng đề xuất các giải pháp kỹ thuật và pháp lý đặc thù như sau:</w:t>
      </w:r>
    </w:p>
    <w:p>
      <w:pPr>
        <w:spacing w:before="0" w:after="60" w:line="276" w:lineRule="auto"/>
        <w:jc w:val="left"/>
      </w:pPr>
      <w:r>
        <w:rPr>
          <w:rFonts w:ascii="Times New Roman" w:hAnsi="Times New Roman"/>
          <w:b w:val="0"/>
          <w:i w:val="0"/>
          <w:sz w:val="24"/>
        </w:rPr>
        <w:t>+ Về mặt kỹ thuật: Áp dụng phương pháp ép cừ tĩnh thủy lực hoặc rung cao tần giảm chấn, hạ cừ Larsen U250 dài 8.0m ngàm sâu 4m vào tầng đất sét cứng; rút ngắn cự ly hệ thanh chống văng ngang từ 10m xuống 3.5m/điểm kết hợp chống xiên 45 độ; tổ chức đào đất thủ công 100% từng khoang ngắn 4m - 5m, đào đến đâu đóng ngay cọc tre và đổ ngay bê tông lót M100 khóa chân cừ trong ca; lắp đặt 03 mốc quan trắc đo lún (M1, M2, M3) và dán tem thạch cao theo dõi vết nứt 2 lần/ngày.</w:t>
      </w:r>
    </w:p>
    <w:p>
      <w:pPr>
        <w:spacing w:before="0" w:after="60" w:line="276" w:lineRule="auto"/>
        <w:jc w:val="left"/>
      </w:pPr>
      <w:r>
        <w:rPr>
          <w:rFonts w:ascii="Times New Roman" w:hAnsi="Times New Roman"/>
          <w:b w:val="0"/>
          <w:i w:val="0"/>
          <w:sz w:val="24"/>
        </w:rPr>
        <w:t>+ Về mặt phối hợp pháp lý: Lập Biên bản kiểm tra hiện trường ngày 24/09/2026 có sự tham gia ký xác nhận của các bên liên quan (CĐT, UBND xã Kiến Minh, Ban thôn Phong Cầu, TVGS Cường Đạt, TVTK Thành Đạt, Nhà thầu Định Sơn, Hộ dân), chụp ảnh lưu vết hiện trạng các vết nứt cũ để tạo bằng chứng pháp lý tuyệt đối bảo vệ công trình.</w:t>
      </w:r>
    </w:p>
    <w:p>
      <w:pPr>
        <w:spacing w:before="80" w:after="60" w:line="276" w:lineRule="auto"/>
        <w:jc w:val="left"/>
      </w:pPr>
      <w:r>
        <w:rPr>
          <w:rFonts w:ascii="Times New Roman" w:hAnsi="Times New Roman"/>
          <w:b/>
          <w:i w:val="0"/>
          <w:sz w:val="25"/>
        </w:rPr>
        <w:t>4. Đề nghị phê duyệt:</w:t>
      </w:r>
    </w:p>
    <w:p>
      <w:pPr>
        <w:spacing w:before="0" w:after="240" w:line="276" w:lineRule="auto"/>
        <w:jc w:val="left"/>
      </w:pPr>
      <w:r>
        <w:rPr>
          <w:rFonts w:ascii="Times New Roman" w:hAnsi="Times New Roman"/>
          <w:b w:val="0"/>
          <w:i w:val="0"/>
          <w:sz w:val="25"/>
        </w:rPr>
        <w:t>Kính đề nghị Trung tâm Dịch vụ sự nghiệp công xã Kiến Minh và Đơn vị Tư vấn giám sát (Công ty Cổ phần Tư vấn Xây dựng và Thương mại Cường Đạt) xem xét, chấp thuận Hồ sơ Biện pháp tổ chức thi công và Bảng tiến độ thi công chi tiết (gồm 66 đầu mục công tác theo đúng Phụ lục 01 HĐ) để Nhà thầu có căn cứ pháp lý triển khai thi công công trình bảo đảm chất lượng, tiến độ và an toàn tuyệt đối.</w:t>
      </w:r>
    </w:p>
    <w:tbl>
      <w:tblPr>
        <w:tblW w:type="auto" w:w="0"/>
        <w:jc w:val="center"/>
        <w:tblLayout w:type="fixed"/>
        <w:tblLook w:firstColumn="1" w:firstRow="1" w:lastColumn="0" w:lastRow="0" w:noHBand="0" w:noVBand="1" w:val="04A0"/>
        <w:tblBorders>
          <w:top w:val="none" w:sz="0" w:space="0" w:color="FFFFFF"/>
          <w:bottom w:val="none" w:sz="0" w:space="0" w:color="FFFFFF"/>
          <w:insideH w:val="none" w:sz="0" w:space="0" w:color="FFFFFF"/>
          <w:insideV w:val="none" w:sz="0" w:space="0" w:color="FFFFFF"/>
          <w:left w:val="none" w:sz="0" w:space="0" w:color="FFFFFF"/>
          <w:right w:val="none" w:sz="0" w:space="0" w:color="FFFFFF"/>
        </w:tblBorders>
      </w:tblPr>
      <w:tblGrid>
        <w:gridCol w:w="4678"/>
        <w:gridCol w:w="4678"/>
      </w:tblGrid>
      <w:tr>
        <w:tc>
          <w:tcPr>
            <w:tcW w:type="dxa" w:w="4176"/>
          </w:tcPr>
          <w:p>
            <w:pPr>
              <w:spacing w:before="20" w:after="40" w:line="276" w:lineRule="auto"/>
              <w:jc w:val="left"/>
            </w:pPr>
            <w:r/>
            <w:r>
              <w:rPr>
                <w:rFonts w:ascii="Times New Roman" w:hAnsi="Times New Roman"/>
                <w:b w:val="0"/>
                <w:i/>
                <w:sz w:val="21"/>
              </w:rPr>
              <w:t>Nơi nhận:</w:t>
              <w:br/>
              <w:t>- Như trên;</w:t>
              <w:br/>
              <w:t>- Trung tâm DVSNC xã Kiến Minh (Chủ đầu tư);</w:t>
              <w:br/>
              <w:t>- Công ty CP TVXD &amp; TM Cường Đạt (Đơn vị TVGS);</w:t>
              <w:br/>
              <w:t>- UBND xã Kiến Minh (để b/c);</w:t>
              <w:br/>
              <w:t>- Lưu: VT, BCHCT.</w:t>
            </w:r>
          </w:p>
        </w:tc>
        <w:tc>
          <w:tcPr>
            <w:tcW w:type="dxa" w:w="5184"/>
          </w:tcPr>
          <w:p>
            <w:pPr>
              <w:jc w:val="center"/>
            </w:pPr>
            <w:r>
              <w:rPr>
                <w:rFonts w:ascii="Times New Roman" w:hAnsi="Times New Roman"/>
                <w:b/>
                <w:sz w:val="22"/>
              </w:rPr>
              <w:t>CÔNG TY TNHH XÂY DỰNG ĐỊNH SƠN</w:t>
              <w:br/>
            </w:r>
            <w:r>
              <w:rPr>
                <w:rFonts w:ascii="Times New Roman" w:hAnsi="Times New Roman"/>
                <w:b/>
                <w:sz w:val="23"/>
              </w:rPr>
              <w:t>GIÁM ĐỐC</w:t>
              <w:br/>
              <w:br/>
              <w:br/>
              <w:br/>
              <w:br/>
            </w:r>
            <w:r>
              <w:rPr>
                <w:rFonts w:ascii="Times New Roman" w:hAnsi="Times New Roman"/>
                <w:b/>
                <w:sz w:val="24"/>
              </w:rPr>
              <w:t>Nguyễn Sĩ Sơn</w:t>
            </w:r>
          </w:p>
        </w:tc>
      </w:tr>
    </w:tbl>
    <w:sectPr w:rsidR="00FC693F" w:rsidRPr="0006063C" w:rsidSect="00034616">
      <w:pgSz w:w="11906" w:h="16838"/>
      <w:pgMar w:top="1138" w:right="1138" w:bottom="1138" w:left="141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