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4678"/>
        <w:gridCol w:w="4678"/>
      </w:tblGrid>
      <w:tr>
        <w:tc>
          <w:tcPr>
            <w:tcW w:type="dxa" w:w="4176"/>
          </w:tcPr>
          <w:p>
            <w:pPr>
              <w:spacing w:after="40" w:line="240" w:lineRule="auto"/>
              <w:jc w:val="center"/>
            </w:pPr>
            <w:r>
              <w:rPr>
                <w:rFonts w:ascii="Times New Roman" w:hAnsi="Times New Roman"/>
                <w:b/>
                <w:sz w:val="21"/>
              </w:rPr>
              <w:t>UBND XÃ KIẾN MINH</w:t>
              <w:br/>
              <w:t>TRUNG TÂM DVSNC</w:t>
              <w:br/>
            </w:r>
            <w:r>
              <w:rPr>
                <w:rFonts w:ascii="Times New Roman" w:hAnsi="Times New Roman"/>
                <w:b w:val="0"/>
                <w:sz w:val="22"/>
              </w:rPr>
              <w:t>Số: 01/BB-XLHT</w:t>
            </w:r>
          </w:p>
        </w:tc>
        <w:tc>
          <w:tcPr>
            <w:tcW w:type="dxa" w:w="5184"/>
          </w:tcPr>
          <w:p>
            <w:pPr>
              <w:spacing w:after="40" w:line="240" w:lineRule="auto"/>
              <w:jc w:val="center"/>
            </w:pPr>
            <w:r>
              <w:rPr>
                <w:rFonts w:ascii="Times New Roman" w:hAnsi="Times New Roman"/>
                <w:b/>
                <w:sz w:val="22"/>
              </w:rPr>
              <w:t>CỘNG HÒA XÃ HỘI CHỦ NGHĨA VIỆT NAM</w:t>
              <w:br/>
            </w:r>
            <w:r>
              <w:rPr>
                <w:rFonts w:ascii="Times New Roman" w:hAnsi="Times New Roman"/>
                <w:b/>
                <w:sz w:val="23"/>
              </w:rPr>
              <w:t>Độc lập - Tự do - Hạnh phúc</w:t>
              <w:br/>
            </w:r>
            <w:r>
              <w:rPr>
                <w:rFonts w:ascii="Times New Roman" w:hAnsi="Times New Roman"/>
                <w:sz w:val="18"/>
              </w:rPr>
              <w:t>---------------o0o---------------</w:t>
              <w:br/>
            </w:r>
            <w:r>
              <w:rPr>
                <w:rFonts w:ascii="Times New Roman" w:hAnsi="Times New Roman"/>
                <w:i/>
                <w:sz w:val="23"/>
              </w:rPr>
              <w:t>Kiến Minh, ngày 24 tháng 09 năm 2026</w:t>
            </w:r>
          </w:p>
        </w:tc>
      </w:tr>
    </w:tbl>
    <w:p>
      <w:pPr>
        <w:spacing w:after="80"/>
      </w:pPr>
    </w:p>
    <w:p>
      <w:pPr>
        <w:spacing w:before="0" w:after="40" w:line="276" w:lineRule="auto"/>
        <w:jc w:val="center"/>
      </w:pPr>
      <w:r>
        <w:rPr>
          <w:rFonts w:ascii="Times New Roman" w:hAnsi="Times New Roman"/>
          <w:b/>
          <w:i w:val="0"/>
          <w:sz w:val="27"/>
        </w:rPr>
        <w:t>BIÊN BẢN KIỂM TRA HIỆN TRƯỜNG VÀ KHẢO SÁT CÔNG TRÌNH LÂN CẬN</w:t>
      </w:r>
    </w:p>
    <w:p>
      <w:pPr>
        <w:spacing w:before="0" w:after="40" w:line="276" w:lineRule="auto"/>
        <w:jc w:val="center"/>
      </w:pPr>
      <w:r>
        <w:rPr>
          <w:rFonts w:ascii="Times New Roman" w:hAnsi="Times New Roman"/>
          <w:b/>
          <w:i/>
          <w:sz w:val="24"/>
        </w:rPr>
        <w:t>V/v Khảo sát hiện trạng công trình nhà dân lấn chiếm hành lang kênh đoạn giữa cọc TC1 và cọc mốc số 4</w:t>
      </w:r>
    </w:p>
    <w:p>
      <w:pPr>
        <w:spacing w:before="0" w:after="200" w:line="276" w:lineRule="auto"/>
        <w:jc w:val="center"/>
      </w:pPr>
      <w:r>
        <w:rPr>
          <w:rFonts w:ascii="Times New Roman" w:hAnsi="Times New Roman"/>
          <w:b/>
          <w:i w:val="0"/>
          <w:sz w:val="25"/>
        </w:rPr>
        <w:t>Công trình: Xây dựng cống hộp đoạn từ nhà ông Đèn đến nhà bà Lanh thôn Phong Cầu, xã Kiến Minh</w:t>
      </w:r>
    </w:p>
    <w:p>
      <w:pPr>
        <w:spacing w:before="0" w:after="60" w:line="276" w:lineRule="auto"/>
        <w:jc w:val="left"/>
      </w:pPr>
      <w:r>
        <w:rPr>
          <w:rFonts w:ascii="Times New Roman" w:hAnsi="Times New Roman"/>
          <w:b w:val="0"/>
          <w:i w:val="0"/>
          <w:sz w:val="25"/>
        </w:rPr>
        <w:t>Hôm nay, vào hồi 09 giờ 00 phút, ngày 24 tháng 09 năm 2026, tại vị trí nút thắt mặt bằng giữa cọc TC1 và cọc mốc số 4 trên tuyến công trình: Xây dựng cống hộp đoạn từ nhà ông Đèn đến nhà bà Lanh thôn Phong Cầu, thành phần tham gia kiểm tra gồm có:</w:t>
      </w:r>
    </w:p>
    <w:p>
      <w:pPr>
        <w:spacing w:before="0" w:after="60" w:line="276" w:lineRule="auto"/>
        <w:jc w:val="left"/>
      </w:pPr>
      <w:r>
        <w:rPr>
          <w:rFonts w:ascii="Times New Roman" w:hAnsi="Times New Roman"/>
          <w:b/>
          <w:i w:val="0"/>
          <w:sz w:val="24"/>
        </w:rPr>
        <w:t>1. Đại diện Chủ đầu tư: Trung tâm Dịch vụ sự nghiệp công xã Kiến Minh</w:t>
      </w:r>
    </w:p>
    <w:p>
      <w:pPr>
        <w:spacing w:before="0" w:after="60" w:line="276" w:lineRule="auto"/>
        <w:jc w:val="left"/>
      </w:pPr>
      <w:r>
        <w:rPr>
          <w:rFonts w:ascii="Times New Roman" w:hAnsi="Times New Roman"/>
          <w:b w:val="0"/>
          <w:i w:val="0"/>
          <w:sz w:val="24"/>
        </w:rPr>
        <w:t>- Ông: Nguyễn Văn Tuấn</w:t>
        <w:tab/>
        <w:tab/>
        <w:tab/>
        <w:t>- Chức vụ: Giám đốc</w:t>
        <w:br/>
        <w:t>- Ông: Phạm Văn Thành</w:t>
        <w:tab/>
        <w:tab/>
        <w:tab/>
        <w:t>- Chức vụ: Cán bộ kỹ thuật</w:t>
      </w:r>
    </w:p>
    <w:p>
      <w:pPr>
        <w:spacing w:before="0" w:after="60" w:line="276" w:lineRule="auto"/>
        <w:jc w:val="left"/>
      </w:pPr>
      <w:r>
        <w:rPr>
          <w:rFonts w:ascii="Times New Roman" w:hAnsi="Times New Roman"/>
          <w:b/>
          <w:i w:val="0"/>
          <w:sz w:val="24"/>
        </w:rPr>
        <w:t>2. Đại diện UBND xã Kiến Minh &amp; Ban lãnh đạo thôn Phong Cầu:</w:t>
      </w:r>
    </w:p>
    <w:p>
      <w:pPr>
        <w:spacing w:before="0" w:after="60" w:line="276" w:lineRule="auto"/>
        <w:jc w:val="left"/>
      </w:pPr>
      <w:r>
        <w:rPr>
          <w:rFonts w:ascii="Times New Roman" w:hAnsi="Times New Roman"/>
          <w:b w:val="0"/>
          <w:i w:val="0"/>
          <w:sz w:val="24"/>
        </w:rPr>
        <w:t>- Ông: Đào Văn Tiến</w:t>
        <w:tab/>
        <w:tab/>
        <w:tab/>
        <w:tab/>
        <w:t>- Chức vụ: Phó Chủ tịch UBND xã Kiến Minh</w:t>
        <w:br/>
        <w:t>- Ông: Hoàng Văn Hưng</w:t>
        <w:tab/>
        <w:tab/>
        <w:tab/>
        <w:t>- Chức vụ: Công chức Địa chính - Xây dựng</w:t>
        <w:br/>
        <w:t>- Ông: Vũ Văn Khoa</w:t>
        <w:tab/>
        <w:tab/>
        <w:tab/>
        <w:tab/>
        <w:t>- Chức vụ: Trưởng thôn Phong Cầu</w:t>
      </w:r>
    </w:p>
    <w:p>
      <w:pPr>
        <w:spacing w:before="0" w:after="60" w:line="276" w:lineRule="auto"/>
        <w:jc w:val="left"/>
      </w:pPr>
      <w:r>
        <w:rPr>
          <w:rFonts w:ascii="Times New Roman" w:hAnsi="Times New Roman"/>
          <w:b/>
          <w:i w:val="0"/>
          <w:sz w:val="24"/>
        </w:rPr>
        <w:t>3. Đại diện Đơn vị Tư vấn thiết kế: CÔNG TY CỔ PHẦN TƯ VẤN THIẾT KẾ VÀ XÂY DỰNG CÔNG TRÌNH THÀNH ĐẠT</w:t>
      </w:r>
    </w:p>
    <w:p>
      <w:pPr>
        <w:spacing w:before="0" w:after="60" w:line="276" w:lineRule="auto"/>
        <w:jc w:val="left"/>
      </w:pPr>
      <w:r>
        <w:rPr>
          <w:rFonts w:ascii="Times New Roman" w:hAnsi="Times New Roman"/>
          <w:b w:val="0"/>
          <w:i w:val="0"/>
          <w:sz w:val="24"/>
        </w:rPr>
        <w:t>- Địa chỉ: Tổ 1, Đẩu Sơn 1 (nhà bà Trần Thị Làn) - Phường Phù Liễn - Thành phố Hải Phòng.</w:t>
        <w:br/>
        <w:t>- Ông: Lê Văn Dũng</w:t>
        <w:tab/>
        <w:tab/>
        <w:tab/>
        <w:tab/>
        <w:t>- Chức vụ: Chủ nhiệm đồ án thiết kế (Giám sát tác giả)</w:t>
      </w:r>
    </w:p>
    <w:p>
      <w:pPr>
        <w:spacing w:before="0" w:after="60" w:line="276" w:lineRule="auto"/>
        <w:jc w:val="left"/>
      </w:pPr>
      <w:r>
        <w:rPr>
          <w:rFonts w:ascii="Times New Roman" w:hAnsi="Times New Roman"/>
          <w:b/>
          <w:i w:val="0"/>
          <w:sz w:val="24"/>
        </w:rPr>
        <w:t>4. Đại diện Đơn vị Tư vấn giám sát: CÔNG TY CỔ PHẦN TƯ VẤN XÂY DỰNG VÀ THƯƠNG MẠI CƯỜNG ĐẠT</w:t>
      </w:r>
    </w:p>
    <w:p>
      <w:pPr>
        <w:spacing w:before="0" w:after="60" w:line="276" w:lineRule="auto"/>
        <w:jc w:val="left"/>
      </w:pPr>
      <w:r>
        <w:rPr>
          <w:rFonts w:ascii="Times New Roman" w:hAnsi="Times New Roman"/>
          <w:b w:val="0"/>
          <w:i w:val="0"/>
          <w:sz w:val="24"/>
        </w:rPr>
        <w:t>- Ông: Phạm Văn Dự</w:t>
        <w:tab/>
        <w:tab/>
        <w:tab/>
        <w:t>- Chức vụ: Tổng Giám đốc kiêm TVGS trưởng</w:t>
        <w:br/>
        <w:t>- Ông: Đồng Văn Phong</w:t>
        <w:tab/>
        <w:tab/>
        <w:tab/>
        <w:t>- Chức vụ: TVGS viên (Giám sát viên hiện trường)</w:t>
      </w:r>
    </w:p>
    <w:p>
      <w:pPr>
        <w:spacing w:before="0" w:after="60" w:line="276" w:lineRule="auto"/>
        <w:jc w:val="left"/>
      </w:pPr>
      <w:r>
        <w:rPr>
          <w:rFonts w:ascii="Times New Roman" w:hAnsi="Times New Roman"/>
          <w:b/>
          <w:i w:val="0"/>
          <w:sz w:val="24"/>
        </w:rPr>
        <w:t>5. Đại diện Nhà thầu thi công: Công ty TNHH Xây dựng Định Sơn</w:t>
      </w:r>
    </w:p>
    <w:p>
      <w:pPr>
        <w:spacing w:before="0" w:after="60" w:line="276" w:lineRule="auto"/>
        <w:jc w:val="left"/>
      </w:pPr>
      <w:r>
        <w:rPr>
          <w:rFonts w:ascii="Times New Roman" w:hAnsi="Times New Roman"/>
          <w:b w:val="0"/>
          <w:i w:val="0"/>
          <w:sz w:val="24"/>
        </w:rPr>
        <w:t>- Ông: Nguyễn Sĩ Sơn</w:t>
        <w:tab/>
        <w:tab/>
        <w:tab/>
        <w:tab/>
        <w:t>- Chức vụ: Giám đốc</w:t>
        <w:br/>
        <w:t>- Ông: Nguyễn Văn Hoạt</w:t>
        <w:tab/>
        <w:tab/>
        <w:tab/>
        <w:t>- Chức vụ: Chỉ huy trưởng công trường</w:t>
      </w:r>
    </w:p>
    <w:p>
      <w:pPr>
        <w:spacing w:before="0" w:after="60" w:line="276" w:lineRule="auto"/>
        <w:jc w:val="left"/>
      </w:pPr>
      <w:r>
        <w:rPr>
          <w:rFonts w:ascii="Times New Roman" w:hAnsi="Times New Roman"/>
          <w:b/>
          <w:i w:val="0"/>
          <w:sz w:val="24"/>
        </w:rPr>
        <w:t>6. Đại diện Hộ gia đình có công trình liên quan:</w:t>
      </w:r>
    </w:p>
    <w:p>
      <w:pPr>
        <w:spacing w:before="0" w:after="160" w:line="276" w:lineRule="auto"/>
        <w:jc w:val="left"/>
      </w:pPr>
      <w:r>
        <w:rPr>
          <w:rFonts w:ascii="Times New Roman" w:hAnsi="Times New Roman"/>
          <w:b w:val="0"/>
          <w:i w:val="0"/>
          <w:sz w:val="24"/>
        </w:rPr>
        <w:t>- Ông: Nguyễn Văn Quyết (Chủ hộ gia đình có công trình xây dựng giáp hành lang kênh tại vị trí giữa cọc TC1 và cọc 4).</w:t>
      </w:r>
    </w:p>
    <w:p>
      <w:pPr>
        <w:spacing w:before="0" w:after="60" w:line="276" w:lineRule="auto"/>
        <w:jc w:val="left"/>
      </w:pPr>
      <w:r>
        <w:rPr>
          <w:rFonts w:ascii="Times New Roman" w:hAnsi="Times New Roman"/>
          <w:b/>
          <w:i w:val="0"/>
          <w:sz w:val="25"/>
        </w:rPr>
        <w:t>I. NỘI DUNG KIỂM TRA HIỆN TRƯỜNG:</w:t>
      </w:r>
    </w:p>
    <w:p>
      <w:pPr>
        <w:spacing w:before="0" w:after="60" w:line="276" w:lineRule="auto"/>
        <w:jc w:val="left"/>
      </w:pPr>
      <w:r>
        <w:rPr>
          <w:rFonts w:ascii="Times New Roman" w:hAnsi="Times New Roman"/>
          <w:b/>
          <w:i w:val="0"/>
          <w:sz w:val="24"/>
        </w:rPr>
        <w:t>1. Vị trí và thông số đo đạc thực tế:</w:t>
      </w:r>
    </w:p>
    <w:p>
      <w:pPr>
        <w:spacing w:before="0" w:after="60" w:line="276" w:lineRule="auto"/>
        <w:jc w:val="left"/>
      </w:pPr>
      <w:r>
        <w:rPr>
          <w:rFonts w:ascii="Times New Roman" w:hAnsi="Times New Roman"/>
          <w:b w:val="0"/>
          <w:i w:val="0"/>
          <w:sz w:val="24"/>
        </w:rPr>
        <w:t>- Vị trí: Thuộc lý trình Phân đoạn 2 của tuyến cống hộp, nằm trong khoảng giữa cọc mốc TC1 và cọc mốc số 4 theo Hồ sơ thiết kế bản vẽ thi công đã duyệt.</w:t>
        <w:br/>
        <w:t>- Đo đạc thực tế: Hộ gia đình ông Nguyễn Văn Quyết có khối nhà xây gạch kiên cố 01 tầng và phần sân bê tông, tường bao xây gạch cao 2.2m dài khoảng 14m lấn vào chỉ giới hành lang bảo vệ mương thoát nước khoảng 0.8m - 1.2m so với tim mương thiết kế.</w:t>
        <w:br/>
        <w:t>- Khoảng cách từ mép hố đào cống hộp B=3.0m đến chân tường nhà dân tại điểm gần nhất chỉ còn 0.65 m (rất hẹp, máy xúc gầu lớn không thể quay trở và có nguy cơ gây mất ổn định chân móng nhà dân nếu đào hở).</w:t>
      </w:r>
    </w:p>
    <w:p>
      <w:pPr>
        <w:spacing w:before="0" w:after="60" w:line="276" w:lineRule="auto"/>
        <w:jc w:val="left"/>
      </w:pPr>
      <w:r>
        <w:rPr>
          <w:rFonts w:ascii="Times New Roman" w:hAnsi="Times New Roman"/>
          <w:b/>
          <w:i w:val="0"/>
          <w:sz w:val="24"/>
        </w:rPr>
        <w:t>2. Ghi nhận hiện trạng kết cấu nhà dân trước khi thi công (Lưu vết pháp lý):</w:t>
      </w:r>
    </w:p>
    <w:p>
      <w:pPr>
        <w:spacing w:before="0" w:after="60" w:line="276" w:lineRule="auto"/>
        <w:jc w:val="left"/>
      </w:pPr>
      <w:r>
        <w:rPr>
          <w:rFonts w:ascii="Times New Roman" w:hAnsi="Times New Roman"/>
          <w:b w:val="0"/>
          <w:i w:val="0"/>
          <w:sz w:val="24"/>
        </w:rPr>
        <w:t>- Toàn bộ các bên đã tiến hành kiểm tra tỉ mỉ và chụp ảnh lưu trữ toàn bộ hiện trạng công trình của hộ dân trước khi triển khai máy móc thi công:</w:t>
        <w:br/>
        <w:t xml:space="preserve">  + Kết cấu móng: Móng gạch xây trên nền đất yếu tự nhiên, không có cọc bê tông cốt thép gia cố.</w:t>
        <w:br/>
        <w:t xml:space="preserve">  + Kết cấu tường: Tường xây gạch chỉ dày 220mm, trát vữa xi măng đã sử dụng trên 15 năm.</w:t>
        <w:br/>
        <w:t xml:space="preserve">  + Ghi nhận các khuyết tật hiện có: Tại góc tường phía Tây giáp kênh có sẵn 02 vết nứt chân chim kéo dài khoảng 1.2m (rộng khoảng 0.5mm - 1.0mm) do lún tự nhiên từ trước; nền sân bê tông phía ngoài có hiện tượng rạn nứt bề mặt. Các bên đã chụp ảnh, đánh dấu vị trí và dán mốc niêm phong bằng thạch cao để theo dõi.</w:t>
        <w:br/>
        <w:t>- Chủ hộ gia đình ông Nguyễn Văn Quyết đã trực tiếp chứng kiến, kiểm tra và ký xác nhận tình trạng thực tế nêu trên.</w:t>
      </w:r>
    </w:p>
    <w:p>
      <w:pPr>
        <w:spacing w:before="0" w:after="60" w:line="276" w:lineRule="auto"/>
        <w:jc w:val="left"/>
      </w:pPr>
      <w:r>
        <w:rPr>
          <w:rFonts w:ascii="Times New Roman" w:hAnsi="Times New Roman"/>
          <w:b/>
          <w:i w:val="0"/>
          <w:sz w:val="25"/>
        </w:rPr>
        <w:t>II. THỐNG NHẤT BIỆN PHÁP XỬ LÝ VÀ PHƯƠNG ÁN THI CÔNG:</w:t>
      </w:r>
    </w:p>
    <w:p>
      <w:pPr>
        <w:spacing w:before="0" w:after="60" w:line="276" w:lineRule="auto"/>
        <w:jc w:val="left"/>
      </w:pPr>
      <w:r>
        <w:rPr>
          <w:rFonts w:ascii="Times New Roman" w:hAnsi="Times New Roman"/>
          <w:b/>
          <w:i w:val="0"/>
          <w:sz w:val="24"/>
        </w:rPr>
        <w:t>1. Về phía chính quyền địa phương và Chủ hộ gia đình:</w:t>
      </w:r>
    </w:p>
    <w:p>
      <w:pPr>
        <w:spacing w:before="0" w:after="60" w:line="276" w:lineRule="auto"/>
        <w:jc w:val="left"/>
      </w:pPr>
      <w:r>
        <w:rPr>
          <w:rFonts w:ascii="Times New Roman" w:hAnsi="Times New Roman"/>
          <w:b w:val="0"/>
          <w:i w:val="0"/>
          <w:sz w:val="24"/>
        </w:rPr>
        <w:t>- UBND xã Kiến Minh và Ban lãnh đạo thôn Phong Cầu đã làm việc, giải thích chính sách và hộ gia đình ông Nguyễn Văn Quyết nhất trí tự nguyện thu dọn vật dụng, tháo dỡ phần mái tôn chìa ra mép kênh trong vòng 03 ngày để tạo không gian tĩnh không cho công tác ép cọc cừ chắn.</w:t>
        <w:br/>
        <w:t>- Hộ gia đình tạo điều kiện cho đơn vị thi công đưa vật tư, thiết bị tiếp cận mặt bằng.</w:t>
      </w:r>
    </w:p>
    <w:p>
      <w:pPr>
        <w:spacing w:before="0" w:after="60" w:line="276" w:lineRule="auto"/>
        <w:jc w:val="left"/>
      </w:pPr>
      <w:r>
        <w:rPr>
          <w:rFonts w:ascii="Times New Roman" w:hAnsi="Times New Roman"/>
          <w:b/>
          <w:i w:val="0"/>
          <w:sz w:val="24"/>
        </w:rPr>
        <w:t>2. Về biện pháp kỹ thuật thi công của Nhà thầu Định Sơn:</w:t>
      </w:r>
    </w:p>
    <w:p>
      <w:pPr>
        <w:spacing w:before="0" w:after="60" w:line="276" w:lineRule="auto"/>
        <w:jc w:val="left"/>
      </w:pPr>
      <w:r>
        <w:rPr>
          <w:rFonts w:ascii="Times New Roman" w:hAnsi="Times New Roman"/>
          <w:b w:val="0"/>
          <w:i w:val="0"/>
          <w:sz w:val="24"/>
        </w:rPr>
        <w:t>- Thay đổi giải pháp hạ cừ: Tuyệt đối không dùng búa rung công suất lớn tại vị trí sát nhà dân; sử dụng phương pháp ép cừ tĩnh thủy lực hoặc rung tần số cao giảm chấn, hạ cừ Larsen U250 dài 8m sát mép chân móng để tạo thành vách ngăn cứng cách ly hoàn toàn khối móng nhà dân với hố đào cống.</w:t>
        <w:br/>
        <w:t>- Tăng cường hệ giằng văng: Bố trí dầm văng dọc cừ U250 kép và tăng dày thanh chống ngang ống thép phi 141x6mm, khoảng cách rút ngắn xuống còn 3.5m/thanh chống (kết hợp thanh chống xiên tại các góc) để triệt tiêu biến dạng vách cừ.</w:t>
        <w:br/>
        <w:t>- Đào đất thủ công: 100% khối lượng đào móng trong phạm vi ảnh hưởng (khoảng 15m dài giáp nhà dân) được đào bằng nhân công thủ công, đào cuốn chiếu từng khoang ngắn 4m - 5m; đào đến đâu đóng cọc tre và đổ ngay bê tông lót M100 dày 10cm để giữ ổn định chân móng.</w:t>
        <w:br/>
        <w:t>- Lắp đặt mốc quan trắc: Nhà thầu gắn 03 mốc quan trắc đo lún tại chân tường nhà dân, tiến hành đo kiểm tra cao độ bằng máy thủy bình mỗi ngày 02 lần (đầu giờ sáng và cuối giờ chiều), ghi chép nhật ký quan trắc đầy đủ.</w:t>
      </w:r>
    </w:p>
    <w:p>
      <w:pPr>
        <w:spacing w:before="0" w:after="60" w:line="276" w:lineRule="auto"/>
        <w:jc w:val="left"/>
      </w:pPr>
      <w:r>
        <w:rPr>
          <w:rFonts w:ascii="Times New Roman" w:hAnsi="Times New Roman"/>
          <w:b/>
          <w:i w:val="0"/>
          <w:sz w:val="24"/>
        </w:rPr>
        <w:t>3. Về phía Đơn vị Tư vấn thiết kế (CÔNG TY CỔ PHẦN TƯ VẤN THIẾT KẾ VÀ XÂY DỰNG CÔNG TRÌNH THÀNH ĐẠT):</w:t>
      </w:r>
    </w:p>
    <w:p>
      <w:pPr>
        <w:spacing w:before="0" w:after="60" w:line="276" w:lineRule="auto"/>
        <w:jc w:val="left"/>
      </w:pPr>
      <w:r>
        <w:rPr>
          <w:rFonts w:ascii="Times New Roman" w:hAnsi="Times New Roman"/>
          <w:b w:val="0"/>
          <w:i w:val="0"/>
          <w:sz w:val="24"/>
        </w:rPr>
        <w:t>- Đại diện Tư vấn thiết kế - Kỹ sư Lê Văn Dũng (Chủ nhiệm đồ án) thực hiện quyền giám sát tác giả theo Điều 20 Nghị định 207/2026/NĐ-CP, phối hợp cùng Đơn vị TVGS (Công ty Cổ phần Tư vấn Xây dựng và Thương mại Cường Đạt - Ông Phạm Văn Dự và Ông Đồng Văn Phong) thống nhất chấp thuận về mặt kỹ thuật đối với biện pháp tăng cường chiều sâu ngàm cừ Larsen lên 8.0m (ngàm 4m vào đất sét cứng), rút ngắn cự ly thanh chống ngang còn 3.5m và đào thủ công từng khoang ngắn 4m-5m để bảo vệ tuyệt đối an toàn móng nhà dân.</w:t>
      </w:r>
    </w:p>
    <w:p>
      <w:pPr>
        <w:spacing w:before="0" w:after="60" w:line="276" w:lineRule="auto"/>
        <w:jc w:val="left"/>
      </w:pPr>
      <w:r>
        <w:rPr>
          <w:rFonts w:ascii="Times New Roman" w:hAnsi="Times New Roman"/>
          <w:b/>
          <w:i w:val="0"/>
          <w:sz w:val="25"/>
        </w:rPr>
        <w:t>III. KẾT LUẬN VÀ CAM KẾT:</w:t>
      </w:r>
    </w:p>
    <w:p>
      <w:pPr>
        <w:spacing w:before="0" w:after="60" w:line="276" w:lineRule="auto"/>
        <w:jc w:val="left"/>
      </w:pPr>
      <w:r>
        <w:rPr>
          <w:rFonts w:ascii="Times New Roman" w:hAnsi="Times New Roman"/>
          <w:b w:val="0"/>
          <w:i w:val="0"/>
          <w:sz w:val="25"/>
        </w:rPr>
        <w:t>- Các bên thống nhất 100% với các nội dung khảo sát thực địa, số liệu đo đạc và phương án kỹ thuật đặc thù nêu trên.</w:t>
        <w:br/>
        <w:t>- Biên bản này là căn cứ pháp lý và kỹ thuật quan trọng để các bên phối hợp giám sát, quản lý chất lượng thi công và là bằng chứng pháp lý bảo vệ quyền lợi hợp pháp của công trình và các hộ dân xung quanh.</w:t>
      </w:r>
    </w:p>
    <w:p>
      <w:pPr>
        <w:spacing w:before="0" w:after="240" w:line="276" w:lineRule="auto"/>
        <w:jc w:val="left"/>
      </w:pPr>
      <w:r>
        <w:rPr>
          <w:rFonts w:ascii="Times New Roman" w:hAnsi="Times New Roman"/>
          <w:b w:val="0"/>
          <w:i/>
          <w:sz w:val="24"/>
        </w:rPr>
        <w:t>Biên bản kết thúc vào lúc 11 giờ 30 phút cùng ngày, được đọc lại cho toàn thể các bên tham gia cùng nghe và nhất trí ký tên dưới đây.</w:t>
      </w:r>
    </w:p>
    <w:tbl>
      <w:tblPr>
        <w:tblW w:type="auto" w:w="0"/>
        <w:jc w:val="center"/>
        <w:tblLayout w:type="fixed"/>
        <w:tblLook w:firstColumn="1" w:firstRow="1" w:lastColumn="0" w:lastRow="0" w:noHBand="0" w:noVBand="1" w:val="04A0"/>
        <w:tblBorders>
          <w:top w:val="none" w:sz="0" w:space="0" w:color="FFFFFF"/>
          <w:bottom w:val="none" w:sz="0" w:space="0" w:color="FFFFFF"/>
          <w:insideH w:val="none" w:sz="0" w:space="0" w:color="FFFFFF"/>
          <w:insideV w:val="none" w:sz="0" w:space="0" w:color="FFFFFF"/>
          <w:left w:val="none" w:sz="0" w:space="0" w:color="FFFFFF"/>
          <w:right w:val="none" w:sz="0" w:space="0" w:color="FFFFFF"/>
        </w:tblBorders>
      </w:tblPr>
      <w:tblGrid>
        <w:gridCol w:w="3119"/>
        <w:gridCol w:w="3119"/>
        <w:gridCol w:w="3119"/>
      </w:tblGrid>
      <w:tr>
        <w:tc>
          <w:tcPr>
            <w:tcW w:type="dxa" w:w="3110"/>
          </w:tcPr>
          <w:p>
            <w:pPr>
              <w:spacing w:before="0" w:after="40" w:line="240" w:lineRule="auto"/>
              <w:jc w:val="center"/>
            </w:pPr>
            <w:r/>
            <w:r>
              <w:rPr>
                <w:rFonts w:ascii="Times New Roman" w:hAnsi="Times New Roman"/>
                <w:b/>
                <w:sz w:val="21"/>
              </w:rPr>
              <w:t>ĐẠI DIỆN CHỦ ĐẦU TƯ</w:t>
              <w:br/>
            </w:r>
            <w:r>
              <w:rPr>
                <w:rFonts w:ascii="Times New Roman" w:hAnsi="Times New Roman"/>
                <w:b/>
                <w:i/>
                <w:sz w:val="19"/>
              </w:rPr>
              <w:t>(Trung tâm DVSNC Kiến Minh)</w:t>
              <w:br/>
            </w:r>
            <w:r>
              <w:rPr>
                <w:rFonts w:ascii="Times New Roman" w:hAnsi="Times New Roman"/>
                <w:sz w:val="20"/>
              </w:rPr>
              <w:br/>
              <w:br/>
              <w:br/>
              <w:br/>
              <w:br/>
            </w:r>
            <w:r>
              <w:rPr>
                <w:rFonts w:ascii="Times New Roman" w:hAnsi="Times New Roman"/>
                <w:b/>
                <w:sz w:val="22"/>
              </w:rPr>
              <w:t>Nguyễn Văn Tuấn</w:t>
            </w:r>
          </w:p>
        </w:tc>
        <w:tc>
          <w:tcPr>
            <w:tcW w:type="dxa" w:w="3110"/>
          </w:tcPr>
          <w:p>
            <w:pPr>
              <w:spacing w:before="0" w:after="40" w:line="240" w:lineRule="auto"/>
              <w:jc w:val="center"/>
            </w:pPr>
            <w:r/>
            <w:r>
              <w:rPr>
                <w:rFonts w:ascii="Times New Roman" w:hAnsi="Times New Roman"/>
                <w:b/>
                <w:sz w:val="21"/>
              </w:rPr>
              <w:t>ĐẠI DIỆN UBND XÃ KIẾN MINH</w:t>
              <w:br/>
            </w:r>
            <w:r>
              <w:rPr>
                <w:rFonts w:ascii="Times New Roman" w:hAnsi="Times New Roman"/>
                <w:sz w:val="20"/>
              </w:rPr>
              <w:br/>
              <w:br/>
              <w:br/>
              <w:br/>
              <w:br/>
            </w:r>
            <w:r>
              <w:rPr>
                <w:rFonts w:ascii="Times New Roman" w:hAnsi="Times New Roman"/>
                <w:b/>
                <w:sz w:val="22"/>
              </w:rPr>
              <w:t>Đào Văn Tiến</w:t>
            </w:r>
          </w:p>
        </w:tc>
        <w:tc>
          <w:tcPr>
            <w:tcW w:type="dxa" w:w="3110"/>
          </w:tcPr>
          <w:p>
            <w:pPr>
              <w:spacing w:before="0" w:after="40" w:line="240" w:lineRule="auto"/>
              <w:jc w:val="center"/>
            </w:pPr>
            <w:r/>
            <w:r>
              <w:rPr>
                <w:rFonts w:ascii="Times New Roman" w:hAnsi="Times New Roman"/>
                <w:b/>
                <w:sz w:val="21"/>
              </w:rPr>
              <w:t>ĐẠI DIỆN THÔN PHONG CẦU</w:t>
              <w:br/>
            </w:r>
            <w:r>
              <w:rPr>
                <w:rFonts w:ascii="Times New Roman" w:hAnsi="Times New Roman"/>
                <w:sz w:val="20"/>
              </w:rPr>
              <w:br/>
              <w:br/>
              <w:br/>
              <w:br/>
              <w:br/>
            </w:r>
            <w:r>
              <w:rPr>
                <w:rFonts w:ascii="Times New Roman" w:hAnsi="Times New Roman"/>
                <w:b/>
                <w:sz w:val="22"/>
              </w:rPr>
              <w:t>Vũ Văn Khoa</w:t>
            </w:r>
          </w:p>
        </w:tc>
      </w:tr>
      <w:tr>
        <w:tc>
          <w:tcPr>
            <w:tcW w:type="dxa" w:w="3110"/>
          </w:tcPr>
          <w:p>
            <w:pPr>
              <w:spacing w:before="0" w:after="40" w:line="240" w:lineRule="auto"/>
              <w:jc w:val="center"/>
            </w:pPr>
            <w:r/>
            <w:r>
              <w:rPr>
                <w:rFonts w:ascii="Times New Roman" w:hAnsi="Times New Roman"/>
                <w:b/>
                <w:sz w:val="21"/>
              </w:rPr>
              <w:t>TƯ VẤN THIẾT KẾ</w:t>
              <w:br/>
            </w:r>
            <w:r>
              <w:rPr>
                <w:rFonts w:ascii="Times New Roman" w:hAnsi="Times New Roman"/>
                <w:b/>
                <w:i/>
                <w:sz w:val="19"/>
              </w:rPr>
              <w:t>(Công ty Thành Đạt)</w:t>
              <w:br/>
            </w:r>
            <w:r>
              <w:rPr>
                <w:rFonts w:ascii="Times New Roman" w:hAnsi="Times New Roman"/>
                <w:sz w:val="20"/>
              </w:rPr>
              <w:br/>
              <w:br/>
              <w:br/>
              <w:br/>
              <w:br/>
            </w:r>
            <w:r>
              <w:rPr>
                <w:rFonts w:ascii="Times New Roman" w:hAnsi="Times New Roman"/>
                <w:b/>
                <w:sz w:val="22"/>
              </w:rPr>
              <w:t>Lê Văn Dũng</w:t>
            </w:r>
          </w:p>
        </w:tc>
        <w:tc>
          <w:tcPr>
            <w:tcW w:type="dxa" w:w="3110"/>
          </w:tcPr>
          <w:p>
            <w:pPr>
              <w:spacing w:before="0" w:after="40" w:line="240" w:lineRule="auto"/>
              <w:jc w:val="center"/>
            </w:pPr>
            <w:r/>
            <w:r>
              <w:rPr>
                <w:rFonts w:ascii="Times New Roman" w:hAnsi="Times New Roman"/>
                <w:b/>
                <w:sz w:val="21"/>
              </w:rPr>
              <w:t>TƯ VẤN GIÁM SÁT</w:t>
              <w:br/>
            </w:r>
            <w:r>
              <w:rPr>
                <w:rFonts w:ascii="Times New Roman" w:hAnsi="Times New Roman"/>
                <w:b/>
                <w:i/>
                <w:sz w:val="19"/>
              </w:rPr>
              <w:t>(Công ty Cường Đạt)</w:t>
              <w:br/>
            </w:r>
            <w:r>
              <w:rPr>
                <w:rFonts w:ascii="Times New Roman" w:hAnsi="Times New Roman"/>
                <w:b/>
                <w:i/>
                <w:sz w:val="19"/>
              </w:rPr>
              <w:t>TGĐ kiêm TVGS trưởng:</w:t>
              <w:br/>
            </w:r>
            <w:r>
              <w:rPr>
                <w:rFonts w:ascii="Times New Roman" w:hAnsi="Times New Roman"/>
                <w:sz w:val="19"/>
              </w:rPr>
              <w:br/>
            </w:r>
            <w:r>
              <w:rPr>
                <w:rFonts w:ascii="Times New Roman" w:hAnsi="Times New Roman"/>
                <w:b/>
                <w:sz w:val="21"/>
              </w:rPr>
              <w:t>Phạm Văn Dự</w:t>
              <w:br/>
            </w:r>
            <w:r>
              <w:rPr>
                <w:rFonts w:ascii="Times New Roman" w:hAnsi="Times New Roman"/>
                <w:b/>
                <w:i/>
                <w:sz w:val="19"/>
              </w:rPr>
              <w:t>TVGS viên:</w:t>
              <w:br/>
            </w:r>
            <w:r>
              <w:rPr>
                <w:rFonts w:ascii="Times New Roman" w:hAnsi="Times New Roman"/>
                <w:sz w:val="19"/>
              </w:rPr>
              <w:br/>
            </w:r>
            <w:r>
              <w:rPr>
                <w:rFonts w:ascii="Times New Roman" w:hAnsi="Times New Roman"/>
                <w:b/>
                <w:sz w:val="21"/>
              </w:rPr>
              <w:t>Đồng Văn Phong</w:t>
              <w:br/>
            </w:r>
          </w:p>
        </w:tc>
        <w:tc>
          <w:tcPr>
            <w:tcW w:type="dxa" w:w="3110"/>
          </w:tcPr>
          <w:p>
            <w:pPr>
              <w:spacing w:before="0" w:after="40" w:line="240" w:lineRule="auto"/>
              <w:jc w:val="center"/>
            </w:pPr>
            <w:r/>
            <w:r>
              <w:rPr>
                <w:rFonts w:ascii="Times New Roman" w:hAnsi="Times New Roman"/>
                <w:b/>
                <w:sz w:val="21"/>
              </w:rPr>
              <w:t>NHÀ THẦU THI CÔNG</w:t>
              <w:br/>
            </w:r>
            <w:r>
              <w:rPr>
                <w:rFonts w:ascii="Times New Roman" w:hAnsi="Times New Roman"/>
                <w:b/>
                <w:i/>
                <w:sz w:val="19"/>
              </w:rPr>
              <w:t>(Công ty Định Sơn)</w:t>
              <w:br/>
            </w:r>
            <w:r>
              <w:rPr>
                <w:rFonts w:ascii="Times New Roman" w:hAnsi="Times New Roman"/>
                <w:sz w:val="20"/>
              </w:rPr>
              <w:br/>
              <w:br/>
              <w:br/>
              <w:br/>
              <w:br/>
            </w:r>
            <w:r>
              <w:rPr>
                <w:rFonts w:ascii="Times New Roman" w:hAnsi="Times New Roman"/>
                <w:b/>
                <w:sz w:val="22"/>
              </w:rPr>
              <w:t>Nguyễn Sĩ Sơn</w:t>
            </w:r>
          </w:p>
        </w:tc>
      </w:tr>
      <w:tr>
        <w:tc>
          <w:tcPr>
            <w:tcW w:type="dxa" w:w="3110"/>
          </w:tcPr>
          <w:p>
            <w:pPr>
              <w:spacing w:before="0" w:after="40" w:line="240" w:lineRule="auto"/>
              <w:jc w:val="center"/>
            </w:pPr>
            <w:r/>
            <w:r>
              <w:rPr>
                <w:rFonts w:ascii="Times New Roman" w:hAnsi="Times New Roman"/>
                <w:b/>
                <w:sz w:val="21"/>
              </w:rPr>
              <w:t>ĐẠI DIỆN HỘ DÂN</w:t>
              <w:br/>
            </w:r>
            <w:r>
              <w:rPr>
                <w:rFonts w:ascii="Times New Roman" w:hAnsi="Times New Roman"/>
                <w:sz w:val="20"/>
              </w:rPr>
              <w:br/>
              <w:br/>
              <w:br/>
              <w:br/>
              <w:br/>
            </w:r>
            <w:r>
              <w:rPr>
                <w:rFonts w:ascii="Times New Roman" w:hAnsi="Times New Roman"/>
                <w:b/>
                <w:sz w:val="22"/>
              </w:rPr>
              <w:t>Nguyễn Văn Quyết</w:t>
            </w:r>
          </w:p>
        </w:tc>
        <w:tc>
          <w:tcPr>
            <w:tcW w:type="dxa" w:w="3110"/>
          </w:tcPr>
          <w:p>
            <w:pPr>
              <w:spacing w:before="0" w:after="40" w:line="240" w:lineRule="auto"/>
              <w:jc w:val="center"/>
            </w:pPr>
            <w:r/>
            <w:r>
              <w:rPr>
                <w:rFonts w:ascii="Times New Roman" w:hAnsi="Times New Roman"/>
                <w:b/>
                <w:sz w:val="21"/>
              </w:rPr>
              <w:t>CHỈ HUY TRƯỞNG CÔNG TRƯỜNG</w:t>
              <w:br/>
            </w:r>
            <w:r>
              <w:rPr>
                <w:rFonts w:ascii="Times New Roman" w:hAnsi="Times New Roman"/>
                <w:sz w:val="20"/>
              </w:rPr>
              <w:br/>
              <w:br/>
              <w:br/>
              <w:br/>
              <w:br/>
            </w:r>
            <w:r>
              <w:rPr>
                <w:rFonts w:ascii="Times New Roman" w:hAnsi="Times New Roman"/>
                <w:b/>
                <w:sz w:val="22"/>
              </w:rPr>
              <w:t>Nguyễn Văn Hoạt</w:t>
            </w:r>
          </w:p>
        </w:tc>
        <w:tc>
          <w:tcPr>
            <w:tcW w:type="dxa" w:w="3110"/>
          </w:tcPr>
          <w:p>
            <w:pPr>
              <w:spacing w:before="0" w:after="40" w:line="240" w:lineRule="auto"/>
              <w:jc w:val="center"/>
            </w:pPr>
            <w:r/>
            <w:r>
              <w:rPr>
                <w:rFonts w:ascii="Times New Roman" w:hAnsi="Times New Roman"/>
                <w:b/>
                <w:sz w:val="21"/>
              </w:rPr>
              <w:t>ĐỊA CHÍNH XÃ KIẾN MINH</w:t>
              <w:br/>
            </w:r>
            <w:r>
              <w:rPr>
                <w:rFonts w:ascii="Times New Roman" w:hAnsi="Times New Roman"/>
                <w:sz w:val="20"/>
              </w:rPr>
              <w:br/>
              <w:br/>
              <w:br/>
              <w:br/>
              <w:br/>
            </w:r>
            <w:r>
              <w:rPr>
                <w:rFonts w:ascii="Times New Roman" w:hAnsi="Times New Roman"/>
                <w:b/>
                <w:sz w:val="22"/>
              </w:rPr>
              <w:t>Hoàng Văn Hưng</w:t>
            </w:r>
          </w:p>
        </w:tc>
      </w:tr>
    </w:tbl>
    <w:sectPr w:rsidR="00FC693F" w:rsidRPr="0006063C" w:rsidSect="00034616">
      <w:pgSz w:w="11906" w:h="16838"/>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