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none" w:sz="0" w:space="0" w:color="FFFFFF"/>
          <w:bottom w:val="none" w:sz="0" w:space="0" w:color="FFFFFF"/>
          <w:insideH w:val="none" w:sz="0" w:space="0" w:color="FFFFFF"/>
          <w:insideV w:val="none" w:sz="0" w:space="0" w:color="FFFFFF"/>
          <w:left w:val="none" w:sz="0" w:space="0" w:color="FFFFFF"/>
          <w:right w:val="none" w:sz="0" w:space="0" w:color="FFFFFF"/>
        </w:tblBorders>
      </w:tblPr>
      <w:tblGrid>
        <w:gridCol w:w="4678"/>
        <w:gridCol w:w="4678"/>
      </w:tblGrid>
      <w:tr>
        <w:tc>
          <w:tcPr>
            <w:tcW w:type="dxa" w:w="4176"/>
          </w:tcPr>
          <w:p>
            <w:pPr>
              <w:spacing w:after="40" w:line="240" w:lineRule="auto"/>
              <w:jc w:val="center"/>
            </w:pPr>
            <w:r>
              <w:rPr>
                <w:rFonts w:ascii="Times New Roman" w:hAnsi="Times New Roman"/>
                <w:b/>
                <w:sz w:val="21"/>
              </w:rPr>
              <w:t>CÔNG TY TNHH XÂY DỰNG ĐỊNH SƠN</w:t>
              <w:br/>
            </w:r>
            <w:r>
              <w:rPr>
                <w:rFonts w:ascii="Times New Roman" w:hAnsi="Times New Roman"/>
                <w:b w:val="0"/>
                <w:sz w:val="22"/>
              </w:rPr>
              <w:t>Số: 18/QĐ-ĐS</w:t>
            </w:r>
          </w:p>
        </w:tc>
        <w:tc>
          <w:tcPr>
            <w:tcW w:type="dxa" w:w="5184"/>
          </w:tcPr>
          <w:p>
            <w:pPr>
              <w:spacing w:after="40" w:line="240" w:lineRule="auto"/>
              <w:jc w:val="center"/>
            </w:pPr>
            <w:r>
              <w:rPr>
                <w:rFonts w:ascii="Times New Roman" w:hAnsi="Times New Roman"/>
                <w:b/>
                <w:sz w:val="22"/>
              </w:rPr>
              <w:t>CỘNG HÒA XÃ HỘI CHỦ NGHĨA VIỆT NAM</w:t>
              <w:br/>
            </w:r>
            <w:r>
              <w:rPr>
                <w:rFonts w:ascii="Times New Roman" w:hAnsi="Times New Roman"/>
                <w:b/>
                <w:sz w:val="23"/>
              </w:rPr>
              <w:t>Độc lập - Tự do - Hạnh phúc</w:t>
              <w:br/>
            </w:r>
            <w:r>
              <w:rPr>
                <w:rFonts w:ascii="Times New Roman" w:hAnsi="Times New Roman"/>
                <w:sz w:val="18"/>
              </w:rPr>
              <w:t>---------------o0o---------------</w:t>
              <w:br/>
            </w:r>
            <w:r>
              <w:rPr>
                <w:rFonts w:ascii="Times New Roman" w:hAnsi="Times New Roman"/>
                <w:i/>
                <w:sz w:val="23"/>
              </w:rPr>
              <w:t>Kiến Minh, ngày 22 tháng 09 năm 2026</w:t>
            </w:r>
          </w:p>
        </w:tc>
      </w:tr>
    </w:tbl>
    <w:p>
      <w:pPr>
        <w:spacing w:after="80"/>
      </w:pPr>
    </w:p>
    <w:p>
      <w:pPr>
        <w:spacing w:before="0" w:after="40" w:line="276" w:lineRule="auto"/>
        <w:jc w:val="center"/>
      </w:pPr>
      <w:r>
        <w:rPr>
          <w:rFonts w:ascii="Times New Roman" w:hAnsi="Times New Roman"/>
          <w:b/>
          <w:i w:val="0"/>
          <w:sz w:val="28"/>
        </w:rPr>
        <w:t>QUYẾT ĐỊNH</w:t>
      </w:r>
    </w:p>
    <w:p>
      <w:pPr>
        <w:spacing w:before="0" w:after="40" w:line="276" w:lineRule="auto"/>
        <w:jc w:val="center"/>
      </w:pPr>
      <w:r>
        <w:rPr>
          <w:rFonts w:ascii="Times New Roman" w:hAnsi="Times New Roman"/>
          <w:b/>
          <w:i/>
          <w:sz w:val="24"/>
        </w:rPr>
        <w:t>V/v Thành lập Ban Chỉ huy công trường thi công xây dựng công trình</w:t>
      </w:r>
    </w:p>
    <w:p>
      <w:pPr>
        <w:spacing w:before="0" w:after="200" w:line="276" w:lineRule="auto"/>
        <w:jc w:val="center"/>
      </w:pPr>
      <w:r>
        <w:rPr>
          <w:rFonts w:ascii="Times New Roman" w:hAnsi="Times New Roman"/>
          <w:b/>
          <w:i w:val="0"/>
          <w:sz w:val="25"/>
        </w:rPr>
        <w:t>Công trình: Xây dựng cống hộp đoạn từ nhà ông Đèn đến nhà bà Lanh thôn Phong Cầu, xã Kiến Minh</w:t>
      </w:r>
    </w:p>
    <w:p>
      <w:pPr>
        <w:spacing w:before="0" w:after="120" w:line="276" w:lineRule="auto"/>
        <w:jc w:val="center"/>
      </w:pPr>
      <w:r>
        <w:rPr>
          <w:rFonts w:ascii="Times New Roman" w:hAnsi="Times New Roman"/>
          <w:b/>
          <w:i w:val="0"/>
          <w:sz w:val="26"/>
        </w:rPr>
        <w:t>GIÁM ĐỐC CÔNG TY TNHH XÂY DỰNG ĐỊNH SƠN</w:t>
      </w:r>
    </w:p>
    <w:p>
      <w:pPr>
        <w:spacing w:before="0" w:after="60" w:line="276" w:lineRule="auto"/>
        <w:jc w:val="left"/>
      </w:pPr>
      <w:r>
        <w:rPr>
          <w:rFonts w:ascii="Times New Roman" w:hAnsi="Times New Roman"/>
          <w:b w:val="0"/>
          <w:i/>
          <w:sz w:val="24"/>
        </w:rPr>
        <w:t>- Căn cứ Luật Doanh nghiệp số 59/2020/QH14 được Quốc hội thông qua ngày 17/06/2020;</w:t>
      </w:r>
    </w:p>
    <w:p>
      <w:pPr>
        <w:spacing w:before="0" w:after="60" w:line="276" w:lineRule="auto"/>
        <w:jc w:val="left"/>
      </w:pPr>
      <w:r>
        <w:rPr>
          <w:rFonts w:ascii="Times New Roman" w:hAnsi="Times New Roman"/>
          <w:b w:val="0"/>
          <w:i/>
          <w:sz w:val="24"/>
        </w:rPr>
        <w:t>- Căn cứ Luật Xây dựng số 135/2025/QH15 ngày 12/10/2025;</w:t>
      </w:r>
    </w:p>
    <w:p>
      <w:pPr>
        <w:spacing w:before="0" w:after="60" w:line="276" w:lineRule="auto"/>
        <w:jc w:val="left"/>
      </w:pPr>
      <w:r>
        <w:rPr>
          <w:rFonts w:ascii="Times New Roman" w:hAnsi="Times New Roman"/>
          <w:b w:val="0"/>
          <w:i/>
          <w:sz w:val="24"/>
        </w:rPr>
        <w:t>- Căn cứ Nghị định số 207/2026/NĐ-CP ngày 15/06/2026 của Chính phủ quy định chi tiết một số nội dung về quản lý chất lượng, thi công xây dựng và bảo trì công trình xây dựng;</w:t>
      </w:r>
    </w:p>
    <w:p>
      <w:pPr>
        <w:spacing w:before="0" w:after="60" w:line="276" w:lineRule="auto"/>
        <w:jc w:val="left"/>
      </w:pPr>
      <w:r>
        <w:rPr>
          <w:rFonts w:ascii="Times New Roman" w:hAnsi="Times New Roman"/>
          <w:b w:val="0"/>
          <w:i/>
          <w:sz w:val="24"/>
        </w:rPr>
        <w:t>- Căn cứ Điều lệ tổ chức và hoạt động của Công ty TNHH Xây dựng Định Sơn;</w:t>
      </w:r>
    </w:p>
    <w:p>
      <w:pPr>
        <w:spacing w:before="0" w:after="60" w:line="276" w:lineRule="auto"/>
        <w:jc w:val="left"/>
      </w:pPr>
      <w:r>
        <w:rPr>
          <w:rFonts w:ascii="Times New Roman" w:hAnsi="Times New Roman"/>
          <w:b w:val="0"/>
          <w:i/>
          <w:sz w:val="24"/>
        </w:rPr>
        <w:t>- Căn cứ Hợp đồng thi công xây dựng số 21.9.CHOĐBLKM/2026/HĐXL ngày 21/09/2026 ký giữa Trung tâm Dịch vụ sự nghiệp công xã Kiến Minh và Công ty TNHH Xây dựng Định Sơn;</w:t>
      </w:r>
    </w:p>
    <w:p>
      <w:pPr>
        <w:spacing w:before="0" w:after="160" w:line="276" w:lineRule="auto"/>
        <w:jc w:val="left"/>
      </w:pPr>
      <w:r>
        <w:rPr>
          <w:rFonts w:ascii="Times New Roman" w:hAnsi="Times New Roman"/>
          <w:b w:val="0"/>
          <w:i/>
          <w:sz w:val="24"/>
        </w:rPr>
        <w:t>- Xét yêu cầu năng lực thực tế, tiến độ thi công công trình và đề nghị của Phòng Tổ chức - Nhân sự công ty,</w:t>
      </w:r>
    </w:p>
    <w:p>
      <w:pPr>
        <w:spacing w:before="0" w:after="120" w:line="276" w:lineRule="auto"/>
        <w:jc w:val="center"/>
      </w:pPr>
      <w:r>
        <w:rPr>
          <w:rFonts w:ascii="Times New Roman" w:hAnsi="Times New Roman"/>
          <w:b/>
          <w:i w:val="0"/>
          <w:sz w:val="26"/>
        </w:rPr>
        <w:t>QUYẾT ĐỊNH:</w:t>
      </w:r>
    </w:p>
    <w:p>
      <w:pPr>
        <w:spacing w:before="0" w:after="60" w:line="276" w:lineRule="auto"/>
        <w:jc w:val="left"/>
      </w:pPr>
      <w:r>
        <w:rPr>
          <w:rFonts w:ascii="Times New Roman" w:hAnsi="Times New Roman"/>
          <w:b w:val="0"/>
          <w:i w:val="0"/>
          <w:sz w:val="25"/>
        </w:rPr>
        <w:t>Điều 1. Thành lập Ban Chỉ huy công trường thi công xây dựng công trình: Xây dựng cống hộp đoạn từ nhà ông Đèn đến nhà bà Lanh thôn Phong Cầu, xã Kiến Minh, gồm các ông/bà có tên sau đây:</w:t>
      </w:r>
    </w:p>
    <w:p>
      <w:pPr>
        <w:spacing w:before="0" w:after="60" w:line="276" w:lineRule="auto"/>
        <w:jc w:val="left"/>
      </w:pPr>
      <w:r>
        <w:rPr>
          <w:rFonts w:ascii="Times New Roman" w:hAnsi="Times New Roman"/>
          <w:b w:val="0"/>
          <w:i w:val="0"/>
          <w:sz w:val="24"/>
        </w:rPr>
        <w:t>1. Ông: Nguyễn Văn Hoạt</w:t>
        <w:br/>
        <w:t>- Trình độ chuyên môn: Kỹ sư xây dựng Thủy lợi - Thủy điện (Có Chứng chỉ hành nghề Chỉ huy trưởng công trình Hạng II hợp lệ, mã nhân sự DS-PM-002).</w:t>
        <w:br/>
        <w:t>- Chức vụ bổ nhiệm: Chỉ huy trưởng công trường (Phụ trách chung toàn diện công tác quản lý, điều hành kỹ thuật, tiến độ, chất lượng và an toàn trên công trường).</w:t>
      </w:r>
    </w:p>
    <w:p>
      <w:pPr>
        <w:spacing w:before="0" w:after="60" w:line="276" w:lineRule="auto"/>
        <w:jc w:val="left"/>
      </w:pPr>
      <w:r>
        <w:rPr>
          <w:rFonts w:ascii="Times New Roman" w:hAnsi="Times New Roman"/>
          <w:b w:val="0"/>
          <w:i w:val="0"/>
          <w:sz w:val="24"/>
        </w:rPr>
        <w:t>2. Ông: Bùi Văn Định</w:t>
        <w:br/>
        <w:t>- Trình độ chuyên môn: Kỹ sư Xây dựng / Kỹ sư Thí nghiệm vật liệu &amp; Đo đạc trắc địa (Mã nhân sự DS-QC-002).</w:t>
        <w:br/>
        <w:t>- Chức vụ bổ nhiệm: Cán bộ kỹ thuật hiện trường (Chịu trách nhiệm trực tiếp trắc đạc định vị tim mốc, chỉ đạo kỹ thuật các tổ đội, lập hồ sơ KCS và hồ sơ nghiệm thu chất lượng).</w:t>
      </w:r>
    </w:p>
    <w:p>
      <w:pPr>
        <w:spacing w:before="0" w:after="60" w:line="276" w:lineRule="auto"/>
        <w:jc w:val="left"/>
      </w:pPr>
      <w:r>
        <w:rPr>
          <w:rFonts w:ascii="Times New Roman" w:hAnsi="Times New Roman"/>
          <w:b w:val="0"/>
          <w:i w:val="0"/>
          <w:sz w:val="24"/>
        </w:rPr>
        <w:t>3. Ông: Đặng Văn Khải</w:t>
        <w:br/>
        <w:t>- Trình độ chuyên môn: Kỹ sư An toàn Lao động &amp; Vệ sinh môi trường (Chứng chỉ An toàn Xây dựng Nhóm 2, mã nhân sự DS-HR-003).</w:t>
        <w:br/>
        <w:t>- Chức vụ bổ nhiệm: Cán bộ chuyên trách An toàn lao động &amp; Vệ sinh môi trường (HSE) (Chịu trách nhiệm kiểm tra an toàn điện, trang thiết bị bảo hộ, an toàn chống sạt lở hố đào, vệ sinh môi trường ngõ xóm và trực tiếp quan trắc đo lún móng nhà dân).</w:t>
      </w:r>
    </w:p>
    <w:p>
      <w:pPr>
        <w:spacing w:before="0" w:after="60" w:line="276" w:lineRule="auto"/>
        <w:jc w:val="left"/>
      </w:pPr>
      <w:r>
        <w:rPr>
          <w:rFonts w:ascii="Times New Roman" w:hAnsi="Times New Roman"/>
          <w:b w:val="0"/>
          <w:i w:val="0"/>
          <w:sz w:val="24"/>
        </w:rPr>
        <w:t>4. Ông: Phạm Văn Hưng</w:t>
        <w:br/>
        <w:t>- Trình độ chuyên môn: Cử nhân Kinh tế Xây dựng &amp; Quản trị chuỗi cung ứng (Mã nhân sự DS-SCM-001).</w:t>
        <w:br/>
        <w:t>- Chức vụ bổ nhiệm: Phụ trách Vật tư - Thiết bị công trường (Chịu trách nhiệm điều phối máy móc cơ giới, kiểm soát vật tư đầu vào xi măng, cát đá, cọc cừ, chứng chỉ CO/CQ và quản lý kho bãi).</w:t>
      </w:r>
    </w:p>
    <w:p>
      <w:pPr>
        <w:spacing w:before="0" w:after="120" w:line="276" w:lineRule="auto"/>
        <w:jc w:val="left"/>
      </w:pPr>
      <w:r>
        <w:rPr>
          <w:rFonts w:ascii="Times New Roman" w:hAnsi="Times New Roman"/>
          <w:b w:val="0"/>
          <w:i w:val="0"/>
          <w:sz w:val="24"/>
        </w:rPr>
        <w:t>5. Bà: Trần Thị Dung</w:t>
        <w:br/>
        <w:t>- Trình độ chuyên môn: Kế toán trưởng (CCHN Kế toán trưởng, mã nhân sự DS-ACC-001).</w:t>
        <w:br/>
        <w:t>- Chức vụ bổ nhiệm: Kế toán trưởng phụ trách Tài chính công trường (Phụ trách kiểm soát hóa đơn chứng từ đầu vào, quản lý tài sản, tiền mặt phục vụ chi phí công trường và lập hồ sơ thanh quyết toán KBNN).</w:t>
      </w:r>
    </w:p>
    <w:p>
      <w:pPr>
        <w:spacing w:before="0" w:after="60" w:line="276" w:lineRule="auto"/>
        <w:jc w:val="left"/>
      </w:pPr>
      <w:r>
        <w:rPr>
          <w:rFonts w:ascii="Times New Roman" w:hAnsi="Times New Roman"/>
          <w:b/>
          <w:i w:val="0"/>
          <w:sz w:val="25"/>
        </w:rPr>
        <w:t>Điều 2. Trách nhiệm và quyền hạn của Ban Chỉ huy công trường:</w:t>
      </w:r>
    </w:p>
    <w:p>
      <w:pPr>
        <w:spacing w:before="0" w:after="60" w:line="276" w:lineRule="auto"/>
        <w:jc w:val="left"/>
      </w:pPr>
      <w:r>
        <w:rPr>
          <w:rFonts w:ascii="Times New Roman" w:hAnsi="Times New Roman"/>
          <w:b w:val="0"/>
          <w:i w:val="0"/>
          <w:sz w:val="24"/>
        </w:rPr>
        <w:t>+ Ban Chỉ huy công trường chịu trách nhiệm trực tiếp trước Giám đốc Công ty, trước Chủ đầu tư và trước Pháp luật về việc tổ chức thi công công trình theo đúng thiết kế được duyệt, tuân thủ các quy chuẩn, tiêu chuẩn xây dựng hiện hành, bảo đảm tuyệt đối chất lượng, tiến độ và an toàn lao động.</w:t>
        <w:br/>
        <w:t>+ Chỉ huy trưởng công trường có quyền điều động, bố trí nhân lực, máy móc, phương tiện thi công trên công trường; ký các biên bản nghiệm thu nội bộ, biên bản nghiệm thu công việc xây dựng với Tư vấn giám sát (Công ty Cổ phần Tư vấn Xây dựng và Thương mại Cường Đạt) và Chủ đầu tư; lập biện pháp xử lý kịp thời các sự cố kỹ thuật phát sinh tại hiện trường (đặc biệt là giải pháp bảo đảm an toàn tuyệt đối đoạn qua nhà dân giữa cọc TC1 và cọc 4).</w:t>
        <w:br/>
        <w:t>+ Định kỳ hàng ngày và hàng tuần lập báo cáo tiến độ, khối lượng hoàn thành và dự trù vật tư gửi về Ban Giám đốc Công ty.</w:t>
      </w:r>
    </w:p>
    <w:p>
      <w:pPr>
        <w:spacing w:before="0" w:after="60" w:line="276" w:lineRule="auto"/>
        <w:jc w:val="left"/>
      </w:pPr>
      <w:r>
        <w:rPr>
          <w:rFonts w:ascii="Times New Roman" w:hAnsi="Times New Roman"/>
          <w:b/>
          <w:i w:val="0"/>
          <w:sz w:val="25"/>
        </w:rPr>
        <w:t>Điều 3. Điều khoản thi hành:</w:t>
      </w:r>
    </w:p>
    <w:p>
      <w:pPr>
        <w:spacing w:before="0" w:after="240" w:line="276" w:lineRule="auto"/>
        <w:jc w:val="left"/>
      </w:pPr>
      <w:r>
        <w:rPr>
          <w:rFonts w:ascii="Times New Roman" w:hAnsi="Times New Roman"/>
          <w:b w:val="0"/>
          <w:i w:val="0"/>
          <w:sz w:val="25"/>
        </w:rPr>
        <w:t>Quyết định có hiệu lực thi hành kể từ ngày ký. Phòng Tổ chức - Nhân sự, Phòng Kỹ thuật - Thi công, Phòng Kế hoạch - Dự toán, các bộ phận liên quan và các ông/bà có tên tại Điều 1 chịu trách nhiệm thi hành Quyết định này./.</w:t>
      </w:r>
    </w:p>
    <w:tbl>
      <w:tblPr>
        <w:tblW w:type="auto" w:w="0"/>
        <w:jc w:val="center"/>
        <w:tblLayout w:type="fixed"/>
        <w:tblLook w:firstColumn="1" w:firstRow="1" w:lastColumn="0" w:lastRow="0" w:noHBand="0" w:noVBand="1" w:val="04A0"/>
        <w:tblBorders>
          <w:top w:val="none" w:sz="0" w:space="0" w:color="FFFFFF"/>
          <w:bottom w:val="none" w:sz="0" w:space="0" w:color="FFFFFF"/>
          <w:insideH w:val="none" w:sz="0" w:space="0" w:color="FFFFFF"/>
          <w:insideV w:val="none" w:sz="0" w:space="0" w:color="FFFFFF"/>
          <w:left w:val="none" w:sz="0" w:space="0" w:color="FFFFFF"/>
          <w:right w:val="none" w:sz="0" w:space="0" w:color="FFFFFF"/>
        </w:tblBorders>
      </w:tblPr>
      <w:tblGrid>
        <w:gridCol w:w="4678"/>
        <w:gridCol w:w="4678"/>
      </w:tblGrid>
      <w:tr>
        <w:tc>
          <w:tcPr>
            <w:tcW w:type="dxa" w:w="4176"/>
          </w:tcPr>
          <w:p>
            <w:pPr>
              <w:spacing w:before="20" w:after="40" w:line="276" w:lineRule="auto"/>
              <w:jc w:val="left"/>
            </w:pPr>
            <w:r/>
            <w:r>
              <w:rPr>
                <w:rFonts w:ascii="Times New Roman" w:hAnsi="Times New Roman"/>
                <w:b w:val="0"/>
                <w:i/>
                <w:sz w:val="21"/>
              </w:rPr>
              <w:t>Nơi nhận:</w:t>
              <w:br/>
              <w:t>- Như Điều 3;</w:t>
              <w:br/>
              <w:t>- Chủ đầu tư (để b/c);</w:t>
              <w:br/>
              <w:t>- TVGS (Công ty Cổ phần Tư vấn Xây dựng và Thương mại Cường Đạt - để phối hợp);</w:t>
              <w:br/>
              <w:t>- Lưu: VT, BCHCT.</w:t>
            </w:r>
          </w:p>
        </w:tc>
        <w:tc>
          <w:tcPr>
            <w:tcW w:type="dxa" w:w="5184"/>
          </w:tcPr>
          <w:p>
            <w:pPr>
              <w:jc w:val="center"/>
            </w:pPr>
            <w:r>
              <w:rPr>
                <w:rFonts w:ascii="Times New Roman" w:hAnsi="Times New Roman"/>
                <w:b/>
                <w:sz w:val="22"/>
              </w:rPr>
              <w:t>CÔNG TY TNHH XÂY DỰNG ĐỊNH SƠN</w:t>
              <w:br/>
            </w:r>
            <w:r>
              <w:rPr>
                <w:rFonts w:ascii="Times New Roman" w:hAnsi="Times New Roman"/>
                <w:b/>
                <w:sz w:val="23"/>
              </w:rPr>
              <w:t>GIÁM ĐỐC</w:t>
              <w:br/>
              <w:br/>
              <w:br/>
              <w:br/>
              <w:br/>
            </w:r>
            <w:r>
              <w:rPr>
                <w:rFonts w:ascii="Times New Roman" w:hAnsi="Times New Roman"/>
                <w:b/>
                <w:sz w:val="24"/>
              </w:rPr>
              <w:t>Nguyễn Sĩ Sơn</w:t>
            </w:r>
          </w:p>
        </w:tc>
      </w:tr>
    </w:tbl>
    <w:sectPr w:rsidR="00FC693F" w:rsidRPr="0006063C" w:rsidSect="00034616">
      <w:pgSz w:w="11906" w:h="16838"/>
      <w:pgMar w:top="1138" w:right="1138" w:bottom="1138" w:left="141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